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6CE" w:rsidRPr="005C7836" w:rsidRDefault="006556CE" w:rsidP="005C7836">
      <w:pPr>
        <w:spacing w:after="200" w:line="276" w:lineRule="auto"/>
        <w:rPr>
          <w:rFonts w:ascii="Arial" w:hAnsi="Arial" w:cs="Arial"/>
          <w:b/>
          <w:bCs/>
          <w:sz w:val="24"/>
        </w:rPr>
      </w:pPr>
    </w:p>
    <w:p w:rsidR="0009491E" w:rsidRDefault="0009491E" w:rsidP="00C94E00">
      <w:pPr>
        <w:pStyle w:val="AppendixTitle"/>
        <w:spacing w:before="100"/>
      </w:pPr>
      <w:r>
        <w:t>System Engineering Management Plan (SEMP)</w:t>
      </w:r>
      <w:r w:rsidR="009B5D7D">
        <w:t xml:space="preserve"> Template</w:t>
      </w:r>
    </w:p>
    <w:p w:rsidR="0009491E" w:rsidRPr="00B0622A" w:rsidRDefault="0009491E" w:rsidP="0009491E">
      <w:pPr>
        <w:pStyle w:val="BodyText"/>
      </w:pPr>
      <w:r w:rsidRPr="00B0622A">
        <w:t>If a project is determined as a High Risk</w:t>
      </w:r>
      <w:r w:rsidR="004F733F" w:rsidRPr="00B0622A">
        <w:t xml:space="preserve"> ITS project</w:t>
      </w:r>
      <w:r w:rsidR="009B5D7D">
        <w:t>,</w:t>
      </w:r>
      <w:r w:rsidR="004F733F" w:rsidRPr="00B0622A">
        <w:t xml:space="preserve"> </w:t>
      </w:r>
      <w:r w:rsidR="006328A9" w:rsidRPr="00B0622A">
        <w:t xml:space="preserve">the </w:t>
      </w:r>
      <w:r w:rsidR="00326A95">
        <w:t>SEA Form</w:t>
      </w:r>
      <w:r w:rsidR="006328A9" w:rsidRPr="00B0622A">
        <w:t xml:space="preserve"> as well as </w:t>
      </w:r>
      <w:r w:rsidR="004F733F" w:rsidRPr="00B0622A">
        <w:t>this</w:t>
      </w:r>
      <w:r w:rsidRPr="00B0622A">
        <w:t xml:space="preserve"> SEMP </w:t>
      </w:r>
      <w:r w:rsidR="00B0622A">
        <w:t>shall</w:t>
      </w:r>
      <w:r w:rsidRPr="00B0622A">
        <w:t xml:space="preserve"> be completed as described under the associated item </w:t>
      </w:r>
      <w:r w:rsidR="00326A95">
        <w:t>below</w:t>
      </w:r>
      <w:r w:rsidRPr="00B0622A">
        <w:t>.</w:t>
      </w:r>
      <w:r w:rsidR="004F733F" w:rsidRPr="00B0622A">
        <w:t xml:space="preserve"> All projects that include software development must have an SEMP completed.</w:t>
      </w:r>
      <w:r w:rsidR="006328A9" w:rsidRPr="00B0622A">
        <w:t xml:space="preserve"> There may be a duplication of informa</w:t>
      </w:r>
      <w:r w:rsidR="005D2F0F">
        <w:t>tion included in both documents.</w:t>
      </w:r>
    </w:p>
    <w:p w:rsidR="003B5F32" w:rsidRPr="003B5F32" w:rsidRDefault="003B5F32" w:rsidP="003B5F32">
      <w:pPr>
        <w:pStyle w:val="AppendixTitle"/>
        <w:spacing w:before="100"/>
        <w:jc w:val="left"/>
        <w:rPr>
          <w:sz w:val="22"/>
          <w:szCs w:val="22"/>
        </w:rPr>
      </w:pPr>
    </w:p>
    <w:p w:rsidR="003D0CEC" w:rsidRDefault="003D0CEC">
      <w:pPr>
        <w:rPr>
          <w:rFonts w:ascii="Arial" w:hAnsi="Arial"/>
          <w:b/>
          <w:sz w:val="52"/>
        </w:rPr>
      </w:pPr>
      <w:r>
        <w:br w:type="page"/>
      </w:r>
    </w:p>
    <w:p w:rsidR="00AE78B1" w:rsidRDefault="009B5D7D" w:rsidP="00C94E00">
      <w:pPr>
        <w:pStyle w:val="AppendixTitle"/>
        <w:spacing w:before="100"/>
      </w:pPr>
      <w:r>
        <w:lastRenderedPageBreak/>
        <w:t>System Engineering</w:t>
      </w:r>
      <w:r>
        <w:br/>
      </w:r>
      <w:r w:rsidR="00AE78B1">
        <w:t xml:space="preserve">Management Plan </w:t>
      </w:r>
      <w:r>
        <w:t>(SEMP)</w:t>
      </w:r>
    </w:p>
    <w:p w:rsidR="007D7BAD" w:rsidRDefault="007D7BAD" w:rsidP="009B412A">
      <w:pPr>
        <w:pStyle w:val="FormTitle"/>
        <w:rPr>
          <w:color w:val="FFFFFF" w:themeColor="background1"/>
        </w:rPr>
      </w:pPr>
      <w:bookmarkStart w:id="0" w:name="_Toc276591511"/>
    </w:p>
    <w:p w:rsidR="007D7BAD" w:rsidRDefault="007D7BAD" w:rsidP="009B412A">
      <w:pPr>
        <w:pStyle w:val="FormTitle"/>
        <w:rPr>
          <w:color w:val="FFFFFF" w:themeColor="background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7D7BAD" w:rsidTr="00B13F47">
        <w:tc>
          <w:tcPr>
            <w:tcW w:w="4788" w:type="dxa"/>
            <w:vAlign w:val="bottom"/>
          </w:tcPr>
          <w:p w:rsidR="007D7BAD" w:rsidRDefault="007D7BAD" w:rsidP="00B13F47">
            <w:pPr>
              <w:spacing w:after="200"/>
              <w:jc w:val="right"/>
              <w:rPr>
                <w:rFonts w:ascii="Arial" w:hAnsi="Arial" w:cs="Arial"/>
                <w:sz w:val="24"/>
              </w:rPr>
            </w:pPr>
            <w:r w:rsidRPr="0027591F">
              <w:rPr>
                <w:rFonts w:ascii="Arial" w:hAnsi="Arial" w:cs="Arial"/>
                <w:sz w:val="24"/>
              </w:rPr>
              <w:t>Project Name:</w:t>
            </w:r>
          </w:p>
        </w:tc>
        <w:tc>
          <w:tcPr>
            <w:tcW w:w="4788" w:type="dxa"/>
            <w:vAlign w:val="bottom"/>
          </w:tcPr>
          <w:p w:rsidR="007D7BAD" w:rsidRDefault="00873E9D" w:rsidP="00B13F47">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007D7BAD"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Pr="0027591F">
              <w:rPr>
                <w:rFonts w:ascii="Arial" w:hAnsi="Arial" w:cs="Arial"/>
                <w:sz w:val="24"/>
              </w:rPr>
              <w:fldChar w:fldCharType="end"/>
            </w:r>
          </w:p>
        </w:tc>
      </w:tr>
      <w:tr w:rsidR="007D7BAD" w:rsidTr="00B13F47">
        <w:tc>
          <w:tcPr>
            <w:tcW w:w="4788" w:type="dxa"/>
            <w:vAlign w:val="bottom"/>
          </w:tcPr>
          <w:p w:rsidR="007D7BAD" w:rsidRDefault="007D7BAD" w:rsidP="00B13F47">
            <w:pPr>
              <w:spacing w:after="200"/>
              <w:jc w:val="right"/>
              <w:rPr>
                <w:rFonts w:ascii="Arial" w:hAnsi="Arial" w:cs="Arial"/>
                <w:sz w:val="24"/>
              </w:rPr>
            </w:pPr>
            <w:r w:rsidRPr="0027591F">
              <w:rPr>
                <w:rFonts w:ascii="Arial" w:hAnsi="Arial" w:cs="Arial"/>
                <w:sz w:val="24"/>
              </w:rPr>
              <w:t>PIN #:</w:t>
            </w:r>
          </w:p>
        </w:tc>
        <w:tc>
          <w:tcPr>
            <w:tcW w:w="4788" w:type="dxa"/>
            <w:vAlign w:val="bottom"/>
          </w:tcPr>
          <w:p w:rsidR="007D7BAD" w:rsidRDefault="00873E9D" w:rsidP="00B13F47">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007D7BAD"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Pr="0027591F">
              <w:rPr>
                <w:rFonts w:ascii="Arial" w:hAnsi="Arial" w:cs="Arial"/>
                <w:sz w:val="24"/>
              </w:rPr>
              <w:fldChar w:fldCharType="end"/>
            </w:r>
          </w:p>
        </w:tc>
      </w:tr>
      <w:tr w:rsidR="007D7BAD" w:rsidTr="00B13F47">
        <w:tc>
          <w:tcPr>
            <w:tcW w:w="4788" w:type="dxa"/>
            <w:vAlign w:val="bottom"/>
          </w:tcPr>
          <w:p w:rsidR="007D7BAD" w:rsidRDefault="007D7BAD" w:rsidP="00B13F47">
            <w:pPr>
              <w:spacing w:after="200"/>
              <w:jc w:val="right"/>
              <w:rPr>
                <w:rFonts w:ascii="Arial" w:hAnsi="Arial" w:cs="Arial"/>
                <w:sz w:val="24"/>
              </w:rPr>
            </w:pPr>
            <w:r w:rsidRPr="0027591F">
              <w:rPr>
                <w:rFonts w:ascii="Arial" w:hAnsi="Arial" w:cs="Arial"/>
                <w:sz w:val="24"/>
              </w:rPr>
              <w:t>State/Federal Project #:</w:t>
            </w:r>
          </w:p>
        </w:tc>
        <w:tc>
          <w:tcPr>
            <w:tcW w:w="4788" w:type="dxa"/>
            <w:vAlign w:val="bottom"/>
          </w:tcPr>
          <w:p w:rsidR="007D7BAD" w:rsidRDefault="00873E9D" w:rsidP="00B13F47">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007D7BAD"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Pr="0027591F">
              <w:rPr>
                <w:rFonts w:ascii="Arial" w:hAnsi="Arial" w:cs="Arial"/>
                <w:sz w:val="24"/>
              </w:rPr>
              <w:fldChar w:fldCharType="end"/>
            </w:r>
          </w:p>
        </w:tc>
      </w:tr>
      <w:tr w:rsidR="007D7BAD" w:rsidTr="00B13F47">
        <w:tc>
          <w:tcPr>
            <w:tcW w:w="4788" w:type="dxa"/>
            <w:vAlign w:val="bottom"/>
          </w:tcPr>
          <w:p w:rsidR="007D7BAD" w:rsidRPr="0027591F" w:rsidRDefault="007D7BAD" w:rsidP="00B13F47">
            <w:pPr>
              <w:spacing w:after="200"/>
              <w:jc w:val="right"/>
              <w:rPr>
                <w:rFonts w:ascii="Arial" w:hAnsi="Arial" w:cs="Arial"/>
                <w:sz w:val="24"/>
              </w:rPr>
            </w:pPr>
            <w:r>
              <w:rPr>
                <w:rFonts w:ascii="Arial" w:hAnsi="Arial" w:cs="Arial"/>
                <w:sz w:val="24"/>
              </w:rPr>
              <w:t>Prepared By:</w:t>
            </w:r>
          </w:p>
        </w:tc>
        <w:tc>
          <w:tcPr>
            <w:tcW w:w="4788" w:type="dxa"/>
            <w:vAlign w:val="bottom"/>
          </w:tcPr>
          <w:p w:rsidR="007D7BAD" w:rsidRPr="0027591F" w:rsidRDefault="00873E9D" w:rsidP="00B13F47">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007D7BAD"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007D7BAD">
              <w:rPr>
                <w:rFonts w:ascii="Arial" w:hAnsi="Arial" w:cs="Arial"/>
                <w:noProof/>
                <w:sz w:val="24"/>
              </w:rPr>
              <w:t> </w:t>
            </w:r>
            <w:r w:rsidRPr="0027591F">
              <w:rPr>
                <w:rFonts w:ascii="Arial" w:hAnsi="Arial" w:cs="Arial"/>
                <w:sz w:val="24"/>
              </w:rPr>
              <w:fldChar w:fldCharType="end"/>
            </w:r>
          </w:p>
        </w:tc>
      </w:tr>
    </w:tbl>
    <w:p w:rsidR="00AE78B1" w:rsidRPr="009B412A" w:rsidRDefault="009B412A" w:rsidP="009B412A">
      <w:pPr>
        <w:pStyle w:val="FormTitle"/>
        <w:rPr>
          <w:color w:val="FFFFFF" w:themeColor="background1"/>
        </w:rPr>
      </w:pPr>
      <w:r w:rsidRPr="009B412A">
        <w:rPr>
          <w:color w:val="FFFFFF" w:themeColor="background1"/>
        </w:rPr>
        <w:t>System Engineering Management Plan - Outline</w:t>
      </w:r>
      <w:bookmarkEnd w:id="0"/>
    </w:p>
    <w:p w:rsidR="00AE78B1" w:rsidRPr="001656B1" w:rsidRDefault="00AE78B1" w:rsidP="00AE78B1">
      <w:pPr>
        <w:autoSpaceDE w:val="0"/>
        <w:autoSpaceDN w:val="0"/>
        <w:adjustRightInd w:val="0"/>
        <w:rPr>
          <w:rFonts w:ascii="Arial" w:hAnsi="Arial" w:cs="Arial"/>
          <w:b/>
          <w:color w:val="000000"/>
          <w:sz w:val="24"/>
        </w:rPr>
      </w:pPr>
      <w:r w:rsidRPr="001656B1">
        <w:rPr>
          <w:rFonts w:ascii="Arial" w:hAnsi="Arial" w:cs="Arial"/>
          <w:b/>
          <w:color w:val="000000"/>
          <w:sz w:val="24"/>
        </w:rPr>
        <w:t>Introduction</w:t>
      </w:r>
    </w:p>
    <w:p w:rsidR="00AE78B1" w:rsidRPr="001C1C70" w:rsidRDefault="00AE78B1" w:rsidP="00AE78B1">
      <w:pPr>
        <w:autoSpaceDE w:val="0"/>
        <w:autoSpaceDN w:val="0"/>
        <w:adjustRightInd w:val="0"/>
        <w:rPr>
          <w:rFonts w:ascii="Arial" w:hAnsi="Arial" w:cs="Arial"/>
          <w:color w:val="000000"/>
          <w:sz w:val="24"/>
        </w:rPr>
      </w:pPr>
    </w:p>
    <w:p w:rsidR="00AE78B1" w:rsidRPr="001C1C70" w:rsidRDefault="00AE78B1" w:rsidP="00B0622A">
      <w:pPr>
        <w:autoSpaceDE w:val="0"/>
        <w:autoSpaceDN w:val="0"/>
        <w:adjustRightInd w:val="0"/>
        <w:ind w:left="360"/>
        <w:rPr>
          <w:rFonts w:ascii="Arial" w:hAnsi="Arial" w:cs="Arial"/>
          <w:color w:val="000000"/>
          <w:sz w:val="24"/>
        </w:rPr>
      </w:pPr>
      <w:r w:rsidRPr="001C1C70">
        <w:rPr>
          <w:rFonts w:ascii="Arial" w:hAnsi="Arial" w:cs="Arial"/>
          <w:color w:val="000000"/>
          <w:sz w:val="24"/>
        </w:rPr>
        <w:t>This paragraph describes the scope and purpose of the SEMP</w:t>
      </w:r>
    </w:p>
    <w:p w:rsidR="00AE78B1" w:rsidRPr="00A47723" w:rsidRDefault="00AE78B1" w:rsidP="00A47723">
      <w:pPr>
        <w:autoSpaceDE w:val="0"/>
        <w:autoSpaceDN w:val="0"/>
        <w:adjustRightInd w:val="0"/>
        <w:ind w:firstLine="360"/>
        <w:rPr>
          <w:rFonts w:ascii="Arial" w:hAnsi="Arial" w:cs="Arial"/>
          <w:b/>
          <w:bCs/>
          <w:color w:val="000000"/>
          <w:sz w:val="24"/>
        </w:rPr>
      </w:pPr>
    </w:p>
    <w:p w:rsidR="00AE78B1" w:rsidRPr="001C1C70" w:rsidRDefault="00AE78B1" w:rsidP="00AE78B1">
      <w:pPr>
        <w:pStyle w:val="BodyTextIndent"/>
        <w:rPr>
          <w:rFonts w:ascii="Arial" w:hAnsi="Arial" w:cs="Arial"/>
          <w:sz w:val="24"/>
        </w:rPr>
      </w:pPr>
      <w:r w:rsidRPr="001C1C70">
        <w:rPr>
          <w:rFonts w:ascii="Arial" w:hAnsi="Arial" w:cs="Arial"/>
          <w:sz w:val="24"/>
        </w:rPr>
        <w:t>The SEMP deals primarily with the key functions, organizations, and related tasks that comprise the engineering activities as they pertain to the definition, design, development, and transition to production</w:t>
      </w: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 xml:space="preserve"> </w:t>
      </w:r>
    </w:p>
    <w:p w:rsidR="00AE78B1" w:rsidRPr="00B0622A" w:rsidRDefault="00AE78B1" w:rsidP="00B0622A">
      <w:pPr>
        <w:ind w:left="360"/>
        <w:rPr>
          <w:rFonts w:ascii="Arial" w:hAnsi="Arial" w:cs="Arial"/>
          <w:b/>
          <w:bCs/>
          <w:color w:val="000000"/>
          <w:sz w:val="24"/>
        </w:rPr>
      </w:pPr>
      <w:r w:rsidRPr="00B0622A">
        <w:rPr>
          <w:rFonts w:ascii="Arial" w:hAnsi="Arial" w:cs="Arial"/>
          <w:b/>
          <w:bCs/>
          <w:color w:val="000000"/>
          <w:sz w:val="24"/>
        </w:rPr>
        <w:t>System Description</w:t>
      </w:r>
    </w:p>
    <w:p w:rsidR="001C1C70" w:rsidRDefault="001C1C70" w:rsidP="001C1C70">
      <w:pPr>
        <w:pStyle w:val="BodyTextIndent2"/>
        <w:spacing w:line="240" w:lineRule="auto"/>
        <w:rPr>
          <w:rFonts w:ascii="Arial" w:hAnsi="Arial" w:cs="Arial"/>
          <w:sz w:val="24"/>
        </w:rPr>
      </w:pPr>
    </w:p>
    <w:p w:rsidR="00AE78B1" w:rsidRPr="001C1C70" w:rsidRDefault="00AE78B1" w:rsidP="001C1C70">
      <w:pPr>
        <w:pStyle w:val="BodyTextIndent2"/>
        <w:spacing w:line="240" w:lineRule="auto"/>
        <w:rPr>
          <w:rFonts w:ascii="Arial" w:hAnsi="Arial" w:cs="Arial"/>
          <w:sz w:val="24"/>
        </w:rPr>
      </w:pPr>
      <w:r w:rsidRPr="001C1C70">
        <w:rPr>
          <w:rFonts w:ascii="Arial" w:hAnsi="Arial" w:cs="Arial"/>
          <w:sz w:val="24"/>
        </w:rPr>
        <w:t>This section should describe the program requirements, system capabilities, system architecture, training equipment, simulation equipment, etc.</w:t>
      </w:r>
    </w:p>
    <w:p w:rsidR="003B5F32" w:rsidRDefault="00AE78B1" w:rsidP="00F108F5">
      <w:pPr>
        <w:autoSpaceDE w:val="0"/>
        <w:autoSpaceDN w:val="0"/>
        <w:adjustRightInd w:val="0"/>
        <w:ind w:left="360"/>
        <w:rPr>
          <w:rFonts w:ascii="Arial" w:hAnsi="Arial" w:cs="Arial"/>
          <w:color w:val="000000"/>
          <w:sz w:val="24"/>
        </w:rPr>
      </w:pPr>
      <w:r w:rsidRPr="001C1C70">
        <w:rPr>
          <w:rFonts w:ascii="Arial" w:hAnsi="Arial" w:cs="Arial"/>
          <w:color w:val="000000"/>
          <w:sz w:val="24"/>
        </w:rPr>
        <w:t>The system description describes the scope of the program.</w:t>
      </w:r>
    </w:p>
    <w:p w:rsidR="00AE78B1" w:rsidRPr="00C46FE2" w:rsidRDefault="00AE78B1" w:rsidP="001C1C70">
      <w:pPr>
        <w:autoSpaceDE w:val="0"/>
        <w:autoSpaceDN w:val="0"/>
        <w:adjustRightInd w:val="0"/>
        <w:ind w:left="720"/>
        <w:rPr>
          <w:rFonts w:ascii="Arial" w:hAnsi="Arial" w:cs="Arial"/>
          <w:color w:val="000000"/>
          <w:sz w:val="24"/>
        </w:rPr>
      </w:pPr>
    </w:p>
    <w:p w:rsidR="00AE78B1" w:rsidRPr="00B0622A" w:rsidRDefault="00AE78B1" w:rsidP="00A47723">
      <w:pPr>
        <w:autoSpaceDE w:val="0"/>
        <w:autoSpaceDN w:val="0"/>
        <w:adjustRightInd w:val="0"/>
        <w:ind w:firstLine="360"/>
        <w:rPr>
          <w:rFonts w:ascii="Arial" w:hAnsi="Arial" w:cs="Arial"/>
          <w:b/>
          <w:bCs/>
          <w:color w:val="000000"/>
          <w:sz w:val="24"/>
        </w:rPr>
      </w:pPr>
      <w:r w:rsidRPr="00B0622A">
        <w:rPr>
          <w:rFonts w:ascii="Arial" w:hAnsi="Arial" w:cs="Arial"/>
          <w:b/>
          <w:bCs/>
          <w:color w:val="000000"/>
          <w:sz w:val="24"/>
        </w:rPr>
        <w:t>Technical Program Summary Schedule</w:t>
      </w:r>
    </w:p>
    <w:p w:rsidR="00AE78B1" w:rsidRPr="001C1C70" w:rsidRDefault="00AE78B1" w:rsidP="001C1C70">
      <w:pPr>
        <w:autoSpaceDE w:val="0"/>
        <w:autoSpaceDN w:val="0"/>
        <w:adjustRightInd w:val="0"/>
        <w:ind w:left="720"/>
        <w:rPr>
          <w:rFonts w:ascii="Arial" w:hAnsi="Arial" w:cs="Arial"/>
          <w:color w:val="000000"/>
          <w:sz w:val="24"/>
        </w:rPr>
      </w:pPr>
    </w:p>
    <w:p w:rsidR="00AE78B1" w:rsidRPr="001C1C70" w:rsidRDefault="00AE78B1" w:rsidP="001C1C70">
      <w:pPr>
        <w:pStyle w:val="BodyTextIndent2"/>
        <w:spacing w:line="240" w:lineRule="auto"/>
        <w:rPr>
          <w:rFonts w:ascii="Arial" w:hAnsi="Arial" w:cs="Arial"/>
          <w:sz w:val="24"/>
        </w:rPr>
      </w:pPr>
      <w:r w:rsidRPr="001C1C70">
        <w:rPr>
          <w:rFonts w:ascii="Arial" w:hAnsi="Arial" w:cs="Arial"/>
          <w:sz w:val="24"/>
        </w:rPr>
        <w:t>Contains the top-level program schedule as well as the systems engineering schedule.</w:t>
      </w:r>
    </w:p>
    <w:p w:rsidR="00AE78B1" w:rsidRPr="001C1C70" w:rsidRDefault="00AE78B1" w:rsidP="00AE78B1">
      <w:pPr>
        <w:autoSpaceDE w:val="0"/>
        <w:autoSpaceDN w:val="0"/>
        <w:adjustRightInd w:val="0"/>
        <w:rPr>
          <w:rFonts w:ascii="Arial" w:hAnsi="Arial" w:cs="Arial"/>
          <w:color w:val="000000"/>
          <w:sz w:val="24"/>
        </w:rPr>
      </w:pPr>
    </w:p>
    <w:p w:rsidR="00AE78B1" w:rsidRPr="001C1C70" w:rsidRDefault="00AE78B1" w:rsidP="001C1C70">
      <w:pPr>
        <w:pStyle w:val="BodyTextIndent2"/>
        <w:spacing w:line="240" w:lineRule="auto"/>
        <w:rPr>
          <w:rFonts w:ascii="Arial" w:hAnsi="Arial" w:cs="Arial"/>
          <w:sz w:val="24"/>
        </w:rPr>
      </w:pPr>
      <w:r w:rsidRPr="001C1C70">
        <w:rPr>
          <w:rFonts w:ascii="Arial" w:hAnsi="Arial" w:cs="Arial"/>
          <w:sz w:val="24"/>
        </w:rPr>
        <w:t>Emphasizes the systems engineering activities, clearly delineating the major systems engineering tasks of mission requirement analysis, functional analysis, allocation, synthesis, hardware requirements analysis, software requirements analysis, and technical project management support.</w:t>
      </w:r>
    </w:p>
    <w:p w:rsidR="00AE78B1" w:rsidRPr="001C1C70" w:rsidRDefault="00AE78B1" w:rsidP="00AE78B1">
      <w:pPr>
        <w:pStyle w:val="BodyTextIndent3"/>
        <w:rPr>
          <w:rFonts w:ascii="Arial" w:hAnsi="Arial" w:cs="Arial"/>
          <w:sz w:val="24"/>
          <w:szCs w:val="24"/>
        </w:rPr>
      </w:pPr>
      <w:r w:rsidRPr="001C1C70">
        <w:rPr>
          <w:rFonts w:ascii="Arial" w:hAnsi="Arial" w:cs="Arial"/>
          <w:sz w:val="24"/>
          <w:szCs w:val="24"/>
        </w:rPr>
        <w:t>Detailed schedules for other engineering disciplines may be placed in Appendix B entitled, “Schedules”, or may be referenced to their detailed plans.</w:t>
      </w:r>
    </w:p>
    <w:p w:rsidR="00AE78B1" w:rsidRPr="001C1C70" w:rsidRDefault="00AE78B1" w:rsidP="00AE78B1">
      <w:pPr>
        <w:autoSpaceDE w:val="0"/>
        <w:autoSpaceDN w:val="0"/>
        <w:adjustRightInd w:val="0"/>
        <w:ind w:left="1440"/>
        <w:rPr>
          <w:rFonts w:ascii="Arial" w:hAnsi="Arial" w:cs="Arial"/>
          <w:color w:val="000000"/>
          <w:sz w:val="24"/>
        </w:rPr>
      </w:pPr>
    </w:p>
    <w:p w:rsidR="00AE78B1" w:rsidRPr="00F108F5" w:rsidRDefault="00AE78B1" w:rsidP="00F108F5">
      <w:pPr>
        <w:ind w:left="360"/>
        <w:rPr>
          <w:rFonts w:ascii="Arial" w:hAnsi="Arial" w:cs="Arial"/>
          <w:b/>
          <w:bCs/>
          <w:sz w:val="24"/>
        </w:rPr>
      </w:pPr>
      <w:r w:rsidRPr="00F108F5">
        <w:rPr>
          <w:rFonts w:ascii="Arial" w:hAnsi="Arial" w:cs="Arial"/>
          <w:b/>
          <w:bCs/>
          <w:sz w:val="24"/>
        </w:rPr>
        <w:t>Reference/applicable Documents</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pStyle w:val="BodyTextIndent2"/>
        <w:rPr>
          <w:rFonts w:ascii="Arial" w:hAnsi="Arial" w:cs="Arial"/>
          <w:sz w:val="24"/>
        </w:rPr>
      </w:pPr>
      <w:r w:rsidRPr="001C1C70">
        <w:rPr>
          <w:rFonts w:ascii="Arial" w:hAnsi="Arial" w:cs="Arial"/>
          <w:sz w:val="24"/>
        </w:rPr>
        <w:t>Identifies the standards and other documents that are applicable to the program.</w:t>
      </w:r>
    </w:p>
    <w:p w:rsidR="00AE78B1" w:rsidRPr="00A47723" w:rsidRDefault="00AE78B1" w:rsidP="00A47723">
      <w:pPr>
        <w:autoSpaceDE w:val="0"/>
        <w:autoSpaceDN w:val="0"/>
        <w:adjustRightInd w:val="0"/>
        <w:ind w:firstLine="360"/>
        <w:rPr>
          <w:rFonts w:ascii="Arial" w:hAnsi="Arial" w:cs="Arial"/>
          <w:b/>
          <w:bCs/>
          <w:color w:val="000000"/>
          <w:sz w:val="24"/>
        </w:rPr>
      </w:pPr>
      <w:r w:rsidRPr="00A47723">
        <w:rPr>
          <w:rFonts w:ascii="Arial" w:hAnsi="Arial" w:cs="Arial"/>
          <w:b/>
          <w:bCs/>
          <w:color w:val="000000"/>
          <w:sz w:val="24"/>
        </w:rPr>
        <w:lastRenderedPageBreak/>
        <w:t>Plans and Process Integration</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47723">
      <w:pPr>
        <w:autoSpaceDE w:val="0"/>
        <w:autoSpaceDN w:val="0"/>
        <w:adjustRightInd w:val="0"/>
        <w:ind w:left="360"/>
        <w:rPr>
          <w:rFonts w:ascii="Arial" w:hAnsi="Arial" w:cs="Arial"/>
          <w:color w:val="000000"/>
          <w:sz w:val="24"/>
        </w:rPr>
      </w:pPr>
      <w:r w:rsidRPr="001C1C70">
        <w:rPr>
          <w:rFonts w:ascii="Arial" w:hAnsi="Arial" w:cs="Arial"/>
          <w:color w:val="000000"/>
          <w:sz w:val="24"/>
        </w:rPr>
        <w:t>This section describes how the SEMP interacts with the other program plans.</w:t>
      </w:r>
    </w:p>
    <w:p w:rsidR="00AE78B1" w:rsidRPr="001C1C70" w:rsidRDefault="00AE78B1" w:rsidP="00A47723">
      <w:pPr>
        <w:autoSpaceDE w:val="0"/>
        <w:autoSpaceDN w:val="0"/>
        <w:adjustRightInd w:val="0"/>
        <w:ind w:left="360"/>
        <w:rPr>
          <w:rFonts w:ascii="Arial" w:hAnsi="Arial" w:cs="Arial"/>
          <w:color w:val="000000"/>
          <w:sz w:val="24"/>
        </w:rPr>
      </w:pPr>
    </w:p>
    <w:p w:rsidR="00AE78B1" w:rsidRPr="001C1C70" w:rsidRDefault="00AE78B1" w:rsidP="00A47723">
      <w:pPr>
        <w:autoSpaceDE w:val="0"/>
        <w:autoSpaceDN w:val="0"/>
        <w:adjustRightInd w:val="0"/>
        <w:ind w:left="360"/>
        <w:rPr>
          <w:rFonts w:ascii="Arial" w:hAnsi="Arial" w:cs="Arial"/>
          <w:color w:val="000000"/>
          <w:sz w:val="24"/>
        </w:rPr>
      </w:pPr>
      <w:r w:rsidRPr="001C1C70">
        <w:rPr>
          <w:rFonts w:ascii="Arial" w:hAnsi="Arial" w:cs="Arial"/>
          <w:color w:val="000000"/>
          <w:sz w:val="24"/>
        </w:rPr>
        <w:t>Tailoring is required to define which plans are applicable to the specific program.</w:t>
      </w:r>
    </w:p>
    <w:p w:rsidR="00AE78B1" w:rsidRPr="001C1C70" w:rsidRDefault="00AE78B1" w:rsidP="00A47723">
      <w:pPr>
        <w:autoSpaceDE w:val="0"/>
        <w:autoSpaceDN w:val="0"/>
        <w:adjustRightInd w:val="0"/>
        <w:ind w:left="360"/>
        <w:rPr>
          <w:rFonts w:ascii="Arial" w:hAnsi="Arial" w:cs="Arial"/>
          <w:color w:val="000000"/>
          <w:sz w:val="24"/>
        </w:rPr>
      </w:pPr>
    </w:p>
    <w:p w:rsidR="00AE78B1" w:rsidRPr="001C1C70" w:rsidRDefault="00AE78B1" w:rsidP="00A47723">
      <w:pPr>
        <w:autoSpaceDE w:val="0"/>
        <w:autoSpaceDN w:val="0"/>
        <w:adjustRightInd w:val="0"/>
        <w:ind w:left="360"/>
        <w:rPr>
          <w:rFonts w:ascii="Arial" w:hAnsi="Arial" w:cs="Arial"/>
          <w:color w:val="000000"/>
          <w:sz w:val="24"/>
        </w:rPr>
      </w:pPr>
      <w:r w:rsidRPr="001C1C70">
        <w:rPr>
          <w:rFonts w:ascii="Arial" w:hAnsi="Arial" w:cs="Arial"/>
          <w:color w:val="000000"/>
          <w:sz w:val="24"/>
        </w:rPr>
        <w:t>Provide a short description of each of the other program plans (e.g., reliability, system safety, software development, etc.)</w:t>
      </w:r>
    </w:p>
    <w:p w:rsidR="00AE78B1" w:rsidRPr="001C1C70" w:rsidRDefault="00AE78B1" w:rsidP="00AE78B1">
      <w:pPr>
        <w:autoSpaceDE w:val="0"/>
        <w:autoSpaceDN w:val="0"/>
        <w:adjustRightInd w:val="0"/>
        <w:ind w:left="720"/>
        <w:rPr>
          <w:rFonts w:ascii="Arial" w:hAnsi="Arial" w:cs="Arial"/>
          <w:color w:val="000000"/>
          <w:sz w:val="24"/>
        </w:rPr>
      </w:pPr>
    </w:p>
    <w:p w:rsidR="00AE78B1" w:rsidRPr="00A47723" w:rsidRDefault="00AE78B1" w:rsidP="00A47723">
      <w:pPr>
        <w:autoSpaceDE w:val="0"/>
        <w:autoSpaceDN w:val="0"/>
        <w:adjustRightInd w:val="0"/>
        <w:ind w:firstLine="360"/>
        <w:rPr>
          <w:rFonts w:ascii="Arial" w:hAnsi="Arial" w:cs="Arial"/>
          <w:b/>
          <w:bCs/>
          <w:color w:val="000000"/>
          <w:sz w:val="24"/>
        </w:rPr>
      </w:pPr>
      <w:r w:rsidRPr="00A47723">
        <w:rPr>
          <w:rFonts w:ascii="Arial" w:hAnsi="Arial" w:cs="Arial"/>
          <w:b/>
          <w:bCs/>
          <w:color w:val="000000"/>
          <w:sz w:val="24"/>
        </w:rPr>
        <w:t>SEMP Overview</w:t>
      </w:r>
    </w:p>
    <w:p w:rsidR="00AE78B1" w:rsidRPr="00A47723" w:rsidRDefault="00AE78B1" w:rsidP="00A47723">
      <w:pPr>
        <w:autoSpaceDE w:val="0"/>
        <w:autoSpaceDN w:val="0"/>
        <w:adjustRightInd w:val="0"/>
        <w:ind w:firstLine="360"/>
        <w:rPr>
          <w:rFonts w:ascii="Arial" w:hAnsi="Arial" w:cs="Arial"/>
          <w:b/>
          <w:bCs/>
          <w:color w:val="000000"/>
          <w:sz w:val="24"/>
        </w:rPr>
      </w:pPr>
    </w:p>
    <w:p w:rsidR="00AE78B1" w:rsidRPr="001C1C70" w:rsidRDefault="00AE78B1" w:rsidP="00A47723">
      <w:pPr>
        <w:autoSpaceDE w:val="0"/>
        <w:autoSpaceDN w:val="0"/>
        <w:adjustRightInd w:val="0"/>
        <w:ind w:left="360"/>
        <w:rPr>
          <w:rFonts w:ascii="Arial" w:hAnsi="Arial" w:cs="Arial"/>
          <w:color w:val="000000"/>
          <w:sz w:val="24"/>
        </w:rPr>
      </w:pPr>
      <w:r w:rsidRPr="001C1C70">
        <w:rPr>
          <w:rFonts w:ascii="Arial" w:hAnsi="Arial" w:cs="Arial"/>
          <w:color w:val="000000"/>
          <w:sz w:val="24"/>
        </w:rPr>
        <w:t>Describes the structure of the SEMP</w:t>
      </w:r>
    </w:p>
    <w:p w:rsidR="00AE78B1" w:rsidRPr="001C1C70" w:rsidRDefault="00AE78B1" w:rsidP="00AE78B1">
      <w:pPr>
        <w:autoSpaceDE w:val="0"/>
        <w:autoSpaceDN w:val="0"/>
        <w:adjustRightInd w:val="0"/>
        <w:rPr>
          <w:rFonts w:ascii="Arial" w:hAnsi="Arial" w:cs="Arial"/>
          <w:color w:val="000000"/>
          <w:sz w:val="24"/>
        </w:rPr>
      </w:pPr>
    </w:p>
    <w:p w:rsidR="00AE78B1" w:rsidRPr="001C1C70" w:rsidRDefault="00AE78B1" w:rsidP="00AE78B1">
      <w:pPr>
        <w:pStyle w:val="Heading7"/>
        <w:rPr>
          <w:rFonts w:ascii="Arial" w:hAnsi="Arial" w:cs="Arial"/>
          <w:b/>
        </w:rPr>
      </w:pPr>
      <w:r w:rsidRPr="001C1C70">
        <w:rPr>
          <w:rFonts w:ascii="Arial" w:hAnsi="Arial" w:cs="Arial"/>
          <w:b/>
        </w:rPr>
        <w:t>PART I -- TECHNICAL PROGRAM PLANNING AND CONTROL</w:t>
      </w:r>
    </w:p>
    <w:p w:rsidR="00AE78B1" w:rsidRPr="001C1C70" w:rsidRDefault="00AE78B1" w:rsidP="00AE78B1">
      <w:pPr>
        <w:autoSpaceDE w:val="0"/>
        <w:autoSpaceDN w:val="0"/>
        <w:adjustRightInd w:val="0"/>
        <w:rPr>
          <w:rFonts w:ascii="Arial" w:hAnsi="Arial" w:cs="Arial"/>
          <w:color w:val="000000"/>
          <w:sz w:val="24"/>
        </w:rPr>
      </w:pPr>
    </w:p>
    <w:p w:rsidR="00AE78B1" w:rsidRPr="00494E5D" w:rsidRDefault="003B5F32" w:rsidP="00AE78B1">
      <w:pPr>
        <w:autoSpaceDE w:val="0"/>
        <w:autoSpaceDN w:val="0"/>
        <w:adjustRightInd w:val="0"/>
        <w:rPr>
          <w:rFonts w:ascii="Arial" w:hAnsi="Arial" w:cs="Arial"/>
          <w:b/>
          <w:color w:val="000000"/>
          <w:sz w:val="24"/>
        </w:rPr>
      </w:pPr>
      <w:r w:rsidRPr="003B5F32">
        <w:rPr>
          <w:rFonts w:ascii="Arial" w:hAnsi="Arial" w:cs="Arial"/>
          <w:b/>
          <w:color w:val="000000"/>
          <w:sz w:val="24"/>
        </w:rPr>
        <w:t>Organization and Responsibilities</w:t>
      </w:r>
    </w:p>
    <w:p w:rsidR="00AE78B1" w:rsidRPr="001C1C70" w:rsidRDefault="00AE78B1" w:rsidP="00AE78B1">
      <w:pPr>
        <w:autoSpaceDE w:val="0"/>
        <w:autoSpaceDN w:val="0"/>
        <w:adjustRightInd w:val="0"/>
        <w:rPr>
          <w:rFonts w:ascii="Arial" w:hAnsi="Arial" w:cs="Arial"/>
          <w:color w:val="000000"/>
          <w:sz w:val="24"/>
        </w:rPr>
      </w:pP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Describes the program organization and responsibilities as they relate to the specific engineering tasks to be performed.</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Identifies the managers, the responsibilities of the managers delineated, and the interaction between the organizational functions.</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 xml:space="preserve">The systems engineering organization should be described in detail. </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 xml:space="preserve">Resolution of issues (funding, design, schedule, etc.) should be described as to who is responsible for the resolution, and what is the chain of command for unresolved issues. </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Organizational interfaces across functions should be described in detail.  The area of responsibilities should reflect the systems engineering process.</w:t>
      </w:r>
    </w:p>
    <w:p w:rsidR="00AE78B1" w:rsidRPr="001C1C70" w:rsidRDefault="00AE78B1" w:rsidP="00AE78B1">
      <w:pPr>
        <w:autoSpaceDE w:val="0"/>
        <w:autoSpaceDN w:val="0"/>
        <w:adjustRightInd w:val="0"/>
        <w:rPr>
          <w:rFonts w:ascii="Arial" w:hAnsi="Arial" w:cs="Arial"/>
          <w:color w:val="000000"/>
          <w:sz w:val="24"/>
        </w:rPr>
      </w:pPr>
    </w:p>
    <w:p w:rsidR="00AE78B1" w:rsidRPr="00494E5D" w:rsidRDefault="003B5F32" w:rsidP="00AE78B1">
      <w:pPr>
        <w:autoSpaceDE w:val="0"/>
        <w:autoSpaceDN w:val="0"/>
        <w:adjustRightInd w:val="0"/>
        <w:rPr>
          <w:rFonts w:ascii="Arial" w:hAnsi="Arial" w:cs="Arial"/>
          <w:b/>
          <w:color w:val="000000"/>
          <w:sz w:val="24"/>
        </w:rPr>
      </w:pPr>
      <w:r w:rsidRPr="003B5F32">
        <w:rPr>
          <w:rFonts w:ascii="Arial" w:hAnsi="Arial" w:cs="Arial"/>
          <w:b/>
          <w:color w:val="000000"/>
          <w:sz w:val="24"/>
        </w:rPr>
        <w:t xml:space="preserve">Technical Program Management </w:t>
      </w:r>
    </w:p>
    <w:p w:rsidR="00AE78B1" w:rsidRPr="001C1C70" w:rsidRDefault="00AE78B1" w:rsidP="00AE78B1">
      <w:pPr>
        <w:autoSpaceDE w:val="0"/>
        <w:autoSpaceDN w:val="0"/>
        <w:adjustRightInd w:val="0"/>
        <w:rPr>
          <w:rFonts w:ascii="Arial" w:hAnsi="Arial" w:cs="Arial"/>
          <w:color w:val="000000"/>
          <w:sz w:val="24"/>
        </w:rPr>
      </w:pP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Describes the control of the engineering process for the program</w:t>
      </w:r>
    </w:p>
    <w:p w:rsidR="00AE78B1" w:rsidRPr="001C1C70" w:rsidRDefault="00AE78B1" w:rsidP="00AE78B1">
      <w:pPr>
        <w:autoSpaceDE w:val="0"/>
        <w:autoSpaceDN w:val="0"/>
        <w:adjustRightInd w:val="0"/>
        <w:rPr>
          <w:rFonts w:ascii="Arial" w:hAnsi="Arial" w:cs="Arial"/>
          <w:color w:val="000000"/>
          <w:sz w:val="24"/>
        </w:rPr>
      </w:pPr>
    </w:p>
    <w:p w:rsidR="00AE78B1" w:rsidRPr="00032697" w:rsidRDefault="00AE78B1" w:rsidP="00AE78B1">
      <w:pPr>
        <w:pStyle w:val="BodyTextIndent"/>
        <w:rPr>
          <w:rFonts w:ascii="Arial" w:hAnsi="Arial" w:cs="Arial"/>
          <w:b/>
          <w:sz w:val="24"/>
        </w:rPr>
      </w:pPr>
      <w:r w:rsidRPr="00032697">
        <w:rPr>
          <w:rFonts w:ascii="Arial" w:hAnsi="Arial" w:cs="Arial"/>
          <w:b/>
          <w:sz w:val="24"/>
        </w:rPr>
        <w:t>Work Breakdown Structure (WBS)</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autoSpaceDE w:val="0"/>
        <w:autoSpaceDN w:val="0"/>
        <w:adjustRightInd w:val="0"/>
        <w:ind w:left="1440"/>
        <w:rPr>
          <w:rFonts w:ascii="Arial" w:hAnsi="Arial" w:cs="Arial"/>
          <w:color w:val="000000"/>
          <w:sz w:val="24"/>
        </w:rPr>
      </w:pPr>
      <w:r w:rsidRPr="001C1C70">
        <w:rPr>
          <w:rFonts w:ascii="Arial" w:hAnsi="Arial" w:cs="Arial"/>
          <w:color w:val="000000"/>
          <w:sz w:val="24"/>
        </w:rPr>
        <w:t>The WBS is developed as a product–oriented hierarchy of products and services to be provided on the contract.</w:t>
      </w:r>
    </w:p>
    <w:p w:rsidR="00AE78B1" w:rsidRPr="001C1C70" w:rsidRDefault="00AE78B1" w:rsidP="00AE78B1">
      <w:pPr>
        <w:autoSpaceDE w:val="0"/>
        <w:autoSpaceDN w:val="0"/>
        <w:adjustRightInd w:val="0"/>
        <w:ind w:left="1440"/>
        <w:rPr>
          <w:rFonts w:ascii="Arial" w:hAnsi="Arial" w:cs="Arial"/>
          <w:color w:val="000000"/>
          <w:sz w:val="24"/>
        </w:rPr>
      </w:pPr>
    </w:p>
    <w:p w:rsidR="00AE78B1" w:rsidRPr="001C1C70" w:rsidRDefault="00AE78B1" w:rsidP="00AE78B1">
      <w:pPr>
        <w:autoSpaceDE w:val="0"/>
        <w:autoSpaceDN w:val="0"/>
        <w:adjustRightInd w:val="0"/>
        <w:ind w:left="1440"/>
        <w:rPr>
          <w:rFonts w:ascii="Arial" w:hAnsi="Arial" w:cs="Arial"/>
          <w:color w:val="000000"/>
          <w:sz w:val="24"/>
        </w:rPr>
      </w:pPr>
      <w:r w:rsidRPr="001C1C70">
        <w:rPr>
          <w:rFonts w:ascii="Arial" w:hAnsi="Arial" w:cs="Arial"/>
          <w:color w:val="000000"/>
          <w:sz w:val="24"/>
        </w:rPr>
        <w:t>It is the framework for work definition, costing, scheduling and performance measurement.</w:t>
      </w:r>
    </w:p>
    <w:p w:rsidR="00AE78B1" w:rsidRPr="001C1C70" w:rsidRDefault="00AE78B1" w:rsidP="00AE78B1">
      <w:pPr>
        <w:autoSpaceDE w:val="0"/>
        <w:autoSpaceDN w:val="0"/>
        <w:adjustRightInd w:val="0"/>
        <w:ind w:left="720"/>
        <w:rPr>
          <w:rFonts w:ascii="Arial" w:hAnsi="Arial" w:cs="Arial"/>
          <w:color w:val="000000"/>
          <w:sz w:val="24"/>
        </w:rPr>
      </w:pPr>
    </w:p>
    <w:p w:rsidR="00AE78B1" w:rsidRPr="00032697" w:rsidRDefault="00AE78B1" w:rsidP="00032697">
      <w:pPr>
        <w:pStyle w:val="BodyTextIndent"/>
        <w:rPr>
          <w:rFonts w:ascii="Arial" w:hAnsi="Arial" w:cs="Arial"/>
          <w:b/>
          <w:sz w:val="24"/>
        </w:rPr>
      </w:pPr>
      <w:r w:rsidRPr="00032697">
        <w:rPr>
          <w:rFonts w:ascii="Arial" w:hAnsi="Arial" w:cs="Arial"/>
          <w:b/>
          <w:sz w:val="24"/>
        </w:rPr>
        <w:t>Specification Tree</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autoSpaceDE w:val="0"/>
        <w:autoSpaceDN w:val="0"/>
        <w:adjustRightInd w:val="0"/>
        <w:ind w:left="1440"/>
        <w:rPr>
          <w:rFonts w:ascii="Arial" w:hAnsi="Arial" w:cs="Arial"/>
          <w:color w:val="000000"/>
          <w:sz w:val="24"/>
        </w:rPr>
      </w:pPr>
      <w:r w:rsidRPr="001C1C70">
        <w:rPr>
          <w:rFonts w:ascii="Arial" w:hAnsi="Arial" w:cs="Arial"/>
          <w:color w:val="000000"/>
          <w:sz w:val="24"/>
        </w:rPr>
        <w:t xml:space="preserve">The specification tree is presented, and it provides an orderly identification, decomposition, and allocation of the system requirements to software and hardware configuration items and interface characteristics. </w:t>
      </w:r>
    </w:p>
    <w:p w:rsidR="00AE78B1" w:rsidRPr="001C1C70" w:rsidRDefault="00AE78B1" w:rsidP="00AE78B1">
      <w:pPr>
        <w:autoSpaceDE w:val="0"/>
        <w:autoSpaceDN w:val="0"/>
        <w:adjustRightInd w:val="0"/>
        <w:ind w:left="1440"/>
        <w:rPr>
          <w:rFonts w:ascii="Arial" w:hAnsi="Arial" w:cs="Arial"/>
          <w:color w:val="000000"/>
          <w:sz w:val="24"/>
        </w:rPr>
      </w:pPr>
    </w:p>
    <w:p w:rsidR="00AE78B1" w:rsidRPr="001C1C70" w:rsidRDefault="00AE78B1" w:rsidP="00AE78B1">
      <w:pPr>
        <w:autoSpaceDE w:val="0"/>
        <w:autoSpaceDN w:val="0"/>
        <w:adjustRightInd w:val="0"/>
        <w:ind w:left="1440"/>
        <w:rPr>
          <w:rFonts w:ascii="Arial" w:hAnsi="Arial" w:cs="Arial"/>
          <w:color w:val="000000"/>
          <w:sz w:val="24"/>
        </w:rPr>
      </w:pPr>
      <w:r w:rsidRPr="001C1C70">
        <w:rPr>
          <w:rFonts w:ascii="Arial" w:hAnsi="Arial" w:cs="Arial"/>
          <w:color w:val="000000"/>
          <w:sz w:val="24"/>
        </w:rPr>
        <w:t>This specification tree identifies all the requirements documentation to be developed by the Systems Engineering function.</w:t>
      </w:r>
    </w:p>
    <w:p w:rsidR="00AE78B1" w:rsidRPr="001C1C70" w:rsidRDefault="00AE78B1" w:rsidP="00AE78B1">
      <w:pPr>
        <w:autoSpaceDE w:val="0"/>
        <w:autoSpaceDN w:val="0"/>
        <w:adjustRightInd w:val="0"/>
        <w:ind w:left="720"/>
        <w:rPr>
          <w:rFonts w:ascii="Arial" w:hAnsi="Arial" w:cs="Arial"/>
          <w:color w:val="000000"/>
          <w:sz w:val="24"/>
        </w:rPr>
      </w:pPr>
    </w:p>
    <w:p w:rsidR="00AE78B1" w:rsidRPr="00F777F9" w:rsidRDefault="00AE78B1" w:rsidP="00F777F9">
      <w:pPr>
        <w:pStyle w:val="BodyTextIndent"/>
        <w:rPr>
          <w:rFonts w:ascii="Arial" w:hAnsi="Arial" w:cs="Arial"/>
          <w:b/>
          <w:sz w:val="24"/>
        </w:rPr>
      </w:pPr>
      <w:r w:rsidRPr="00F777F9">
        <w:rPr>
          <w:rFonts w:ascii="Arial" w:hAnsi="Arial" w:cs="Arial"/>
          <w:b/>
          <w:sz w:val="24"/>
        </w:rPr>
        <w:t>Risk Management</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autoSpaceDE w:val="0"/>
        <w:autoSpaceDN w:val="0"/>
        <w:adjustRightInd w:val="0"/>
        <w:ind w:left="1440"/>
        <w:rPr>
          <w:rFonts w:ascii="Arial" w:hAnsi="Arial" w:cs="Arial"/>
          <w:color w:val="000000"/>
          <w:sz w:val="24"/>
        </w:rPr>
      </w:pPr>
      <w:r w:rsidRPr="001C1C70">
        <w:rPr>
          <w:rFonts w:ascii="Arial" w:hAnsi="Arial" w:cs="Arial"/>
          <w:color w:val="000000"/>
          <w:sz w:val="24"/>
        </w:rPr>
        <w:t>Program risks must be identified and their mitigation actions planned.</w:t>
      </w:r>
    </w:p>
    <w:p w:rsidR="00AE78B1" w:rsidRPr="001C1C70" w:rsidRDefault="00AE78B1" w:rsidP="00AE78B1">
      <w:pPr>
        <w:autoSpaceDE w:val="0"/>
        <w:autoSpaceDN w:val="0"/>
        <w:adjustRightInd w:val="0"/>
        <w:rPr>
          <w:rFonts w:ascii="Arial" w:hAnsi="Arial" w:cs="Arial"/>
          <w:color w:val="000000"/>
          <w:sz w:val="24"/>
        </w:rPr>
      </w:pPr>
    </w:p>
    <w:p w:rsidR="00AE78B1" w:rsidRPr="00C46FE2" w:rsidRDefault="00AE78B1" w:rsidP="00AE78B1">
      <w:pPr>
        <w:autoSpaceDE w:val="0"/>
        <w:autoSpaceDN w:val="0"/>
        <w:adjustRightInd w:val="0"/>
        <w:ind w:left="1440"/>
        <w:rPr>
          <w:rFonts w:ascii="Arial" w:hAnsi="Arial" w:cs="Arial"/>
          <w:color w:val="000000"/>
          <w:sz w:val="24"/>
        </w:rPr>
      </w:pPr>
      <w:r w:rsidRPr="00C46FE2">
        <w:rPr>
          <w:rFonts w:ascii="Arial" w:hAnsi="Arial" w:cs="Arial"/>
          <w:color w:val="000000"/>
          <w:sz w:val="24"/>
        </w:rPr>
        <w:t>Risk Identification</w:t>
      </w:r>
    </w:p>
    <w:p w:rsidR="00AE78B1" w:rsidRPr="001C1C70" w:rsidRDefault="00AE78B1" w:rsidP="00AE78B1">
      <w:pPr>
        <w:autoSpaceDE w:val="0"/>
        <w:autoSpaceDN w:val="0"/>
        <w:adjustRightInd w:val="0"/>
        <w:ind w:left="1440"/>
        <w:rPr>
          <w:rFonts w:ascii="Arial" w:hAnsi="Arial" w:cs="Arial"/>
          <w:color w:val="000000"/>
          <w:sz w:val="24"/>
        </w:rPr>
      </w:pPr>
    </w:p>
    <w:p w:rsidR="00AE78B1" w:rsidRPr="001C1C70" w:rsidRDefault="00AE78B1" w:rsidP="00AE78B1">
      <w:pPr>
        <w:autoSpaceDE w:val="0"/>
        <w:autoSpaceDN w:val="0"/>
        <w:adjustRightInd w:val="0"/>
        <w:ind w:left="2160"/>
        <w:rPr>
          <w:rFonts w:ascii="Arial" w:hAnsi="Arial" w:cs="Arial"/>
          <w:color w:val="000000"/>
          <w:sz w:val="24"/>
        </w:rPr>
      </w:pPr>
      <w:r w:rsidRPr="001C1C70">
        <w:rPr>
          <w:rFonts w:ascii="Arial" w:hAnsi="Arial" w:cs="Arial"/>
          <w:color w:val="000000"/>
          <w:sz w:val="24"/>
        </w:rPr>
        <w:t>Describes how risks were identified and how they will continue to be identified throughout the program.</w:t>
      </w:r>
    </w:p>
    <w:p w:rsidR="00AE78B1" w:rsidRPr="001C1C70" w:rsidRDefault="00AE78B1" w:rsidP="00AE78B1">
      <w:pPr>
        <w:autoSpaceDE w:val="0"/>
        <w:autoSpaceDN w:val="0"/>
        <w:adjustRightInd w:val="0"/>
        <w:ind w:left="1440"/>
        <w:rPr>
          <w:rFonts w:ascii="Arial" w:hAnsi="Arial" w:cs="Arial"/>
          <w:color w:val="000000"/>
          <w:sz w:val="24"/>
        </w:rPr>
      </w:pPr>
    </w:p>
    <w:p w:rsidR="00AE78B1" w:rsidRPr="00C46FE2" w:rsidRDefault="00AE78B1" w:rsidP="00AE78B1">
      <w:pPr>
        <w:autoSpaceDE w:val="0"/>
        <w:autoSpaceDN w:val="0"/>
        <w:adjustRightInd w:val="0"/>
        <w:ind w:left="1440"/>
        <w:rPr>
          <w:rFonts w:ascii="Arial" w:hAnsi="Arial" w:cs="Arial"/>
          <w:color w:val="000000"/>
          <w:sz w:val="24"/>
        </w:rPr>
      </w:pPr>
      <w:r w:rsidRPr="00C46FE2">
        <w:rPr>
          <w:rFonts w:ascii="Arial" w:hAnsi="Arial" w:cs="Arial"/>
          <w:color w:val="000000"/>
          <w:sz w:val="24"/>
        </w:rPr>
        <w:t>Risk Assessment</w:t>
      </w:r>
    </w:p>
    <w:p w:rsidR="00AE78B1" w:rsidRPr="001C1C70" w:rsidRDefault="00AE78B1" w:rsidP="00AE78B1">
      <w:pPr>
        <w:autoSpaceDE w:val="0"/>
        <w:autoSpaceDN w:val="0"/>
        <w:adjustRightInd w:val="0"/>
        <w:ind w:left="1440"/>
        <w:rPr>
          <w:rFonts w:ascii="Arial" w:hAnsi="Arial" w:cs="Arial"/>
          <w:color w:val="000000"/>
          <w:sz w:val="24"/>
        </w:rPr>
      </w:pPr>
    </w:p>
    <w:p w:rsidR="00AE78B1" w:rsidRPr="001C1C70" w:rsidRDefault="00AE78B1" w:rsidP="00AE78B1">
      <w:pPr>
        <w:autoSpaceDE w:val="0"/>
        <w:autoSpaceDN w:val="0"/>
        <w:adjustRightInd w:val="0"/>
        <w:ind w:left="2160"/>
        <w:rPr>
          <w:rFonts w:ascii="Arial" w:hAnsi="Arial" w:cs="Arial"/>
          <w:color w:val="000000"/>
          <w:sz w:val="24"/>
        </w:rPr>
      </w:pPr>
      <w:r w:rsidRPr="001C1C70">
        <w:rPr>
          <w:rFonts w:ascii="Arial" w:hAnsi="Arial" w:cs="Arial"/>
          <w:color w:val="000000"/>
          <w:sz w:val="24"/>
        </w:rPr>
        <w:t>Describes how the risks are assessed and should identify the program performance measures.</w:t>
      </w:r>
    </w:p>
    <w:p w:rsidR="00AE78B1" w:rsidRPr="001C1C70" w:rsidRDefault="00AE78B1" w:rsidP="00AE78B1">
      <w:pPr>
        <w:autoSpaceDE w:val="0"/>
        <w:autoSpaceDN w:val="0"/>
        <w:adjustRightInd w:val="0"/>
        <w:ind w:left="2160"/>
        <w:rPr>
          <w:rFonts w:ascii="Arial" w:hAnsi="Arial" w:cs="Arial"/>
          <w:color w:val="000000"/>
          <w:sz w:val="24"/>
        </w:rPr>
      </w:pPr>
    </w:p>
    <w:p w:rsidR="00AE78B1" w:rsidRPr="001C1C70" w:rsidRDefault="00AE78B1" w:rsidP="00AE78B1">
      <w:pPr>
        <w:autoSpaceDE w:val="0"/>
        <w:autoSpaceDN w:val="0"/>
        <w:adjustRightInd w:val="0"/>
        <w:ind w:left="2160"/>
        <w:rPr>
          <w:rFonts w:ascii="Arial" w:hAnsi="Arial" w:cs="Arial"/>
          <w:color w:val="000000"/>
          <w:sz w:val="24"/>
        </w:rPr>
      </w:pPr>
      <w:r w:rsidRPr="001C1C70">
        <w:rPr>
          <w:rFonts w:ascii="Arial" w:hAnsi="Arial" w:cs="Arial"/>
          <w:color w:val="000000"/>
          <w:sz w:val="24"/>
        </w:rPr>
        <w:t>Explains how risks are quantitatively assessed for impact, which provides direction for prioritizing resource and personnel allocations.</w:t>
      </w:r>
    </w:p>
    <w:p w:rsidR="00AE78B1" w:rsidRPr="001C1C70" w:rsidRDefault="00AE78B1" w:rsidP="00AE78B1">
      <w:pPr>
        <w:autoSpaceDE w:val="0"/>
        <w:autoSpaceDN w:val="0"/>
        <w:adjustRightInd w:val="0"/>
        <w:ind w:left="1440"/>
        <w:rPr>
          <w:rFonts w:ascii="Arial" w:hAnsi="Arial" w:cs="Arial"/>
          <w:color w:val="000000"/>
          <w:sz w:val="24"/>
        </w:rPr>
      </w:pPr>
    </w:p>
    <w:p w:rsidR="00AE78B1" w:rsidRPr="00C46FE2" w:rsidRDefault="00AE78B1" w:rsidP="00AE78B1">
      <w:pPr>
        <w:autoSpaceDE w:val="0"/>
        <w:autoSpaceDN w:val="0"/>
        <w:adjustRightInd w:val="0"/>
        <w:ind w:left="1440"/>
        <w:rPr>
          <w:rFonts w:ascii="Arial" w:hAnsi="Arial" w:cs="Arial"/>
          <w:color w:val="000000"/>
          <w:sz w:val="24"/>
        </w:rPr>
      </w:pPr>
      <w:r w:rsidRPr="00C46FE2">
        <w:rPr>
          <w:rFonts w:ascii="Arial" w:hAnsi="Arial" w:cs="Arial"/>
          <w:color w:val="000000"/>
          <w:sz w:val="24"/>
        </w:rPr>
        <w:t>Risk Mitigation</w:t>
      </w:r>
    </w:p>
    <w:p w:rsidR="00AE78B1" w:rsidRPr="001C1C70" w:rsidRDefault="00AE78B1" w:rsidP="00AE78B1">
      <w:pPr>
        <w:autoSpaceDE w:val="0"/>
        <w:autoSpaceDN w:val="0"/>
        <w:adjustRightInd w:val="0"/>
        <w:ind w:left="1440"/>
        <w:rPr>
          <w:rFonts w:ascii="Arial" w:hAnsi="Arial" w:cs="Arial"/>
          <w:color w:val="000000"/>
          <w:sz w:val="24"/>
        </w:rPr>
      </w:pPr>
    </w:p>
    <w:p w:rsidR="00AE78B1" w:rsidRPr="001C1C70" w:rsidRDefault="00AE78B1" w:rsidP="00AE78B1">
      <w:pPr>
        <w:autoSpaceDE w:val="0"/>
        <w:autoSpaceDN w:val="0"/>
        <w:adjustRightInd w:val="0"/>
        <w:ind w:left="2160"/>
        <w:rPr>
          <w:rFonts w:ascii="Arial" w:hAnsi="Arial" w:cs="Arial"/>
          <w:color w:val="000000"/>
          <w:sz w:val="24"/>
        </w:rPr>
      </w:pPr>
      <w:r w:rsidRPr="001C1C70">
        <w:rPr>
          <w:rFonts w:ascii="Arial" w:hAnsi="Arial" w:cs="Arial"/>
          <w:color w:val="000000"/>
          <w:sz w:val="24"/>
        </w:rPr>
        <w:t>Describes the process of defining the risk handling plans</w:t>
      </w:r>
    </w:p>
    <w:p w:rsidR="00AE78B1" w:rsidRPr="001C1C70" w:rsidRDefault="00AE78B1" w:rsidP="00AE78B1">
      <w:pPr>
        <w:autoSpaceDE w:val="0"/>
        <w:autoSpaceDN w:val="0"/>
        <w:adjustRightInd w:val="0"/>
        <w:ind w:left="1440"/>
        <w:rPr>
          <w:rFonts w:ascii="Arial" w:hAnsi="Arial" w:cs="Arial"/>
          <w:color w:val="000000"/>
          <w:sz w:val="24"/>
        </w:rPr>
      </w:pPr>
    </w:p>
    <w:p w:rsidR="00AE78B1" w:rsidRPr="00494E5D" w:rsidRDefault="003B5F32" w:rsidP="00AE78B1">
      <w:pPr>
        <w:autoSpaceDE w:val="0"/>
        <w:autoSpaceDN w:val="0"/>
        <w:adjustRightInd w:val="0"/>
        <w:rPr>
          <w:rFonts w:ascii="Arial" w:hAnsi="Arial" w:cs="Arial"/>
          <w:b/>
          <w:color w:val="000000"/>
          <w:sz w:val="24"/>
        </w:rPr>
      </w:pPr>
      <w:r w:rsidRPr="003B5F32">
        <w:rPr>
          <w:rFonts w:ascii="Arial" w:hAnsi="Arial" w:cs="Arial"/>
          <w:b/>
          <w:color w:val="000000"/>
          <w:sz w:val="24"/>
        </w:rPr>
        <w:t>System Test Planning</w:t>
      </w:r>
    </w:p>
    <w:p w:rsidR="00AE78B1" w:rsidRPr="001C1C70" w:rsidRDefault="00AE78B1" w:rsidP="00AE78B1">
      <w:pPr>
        <w:autoSpaceDE w:val="0"/>
        <w:autoSpaceDN w:val="0"/>
        <w:adjustRightInd w:val="0"/>
        <w:rPr>
          <w:rFonts w:ascii="Arial" w:hAnsi="Arial" w:cs="Arial"/>
          <w:color w:val="000000"/>
          <w:sz w:val="24"/>
        </w:rPr>
      </w:pP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Describes an overview of the planning of system test activities and references the Test and Evaluation Master Plan (TEMP).</w:t>
      </w:r>
    </w:p>
    <w:p w:rsidR="00AE78B1" w:rsidRPr="001C1C70" w:rsidRDefault="00AE78B1" w:rsidP="00AE78B1">
      <w:pPr>
        <w:autoSpaceDE w:val="0"/>
        <w:autoSpaceDN w:val="0"/>
        <w:adjustRightInd w:val="0"/>
        <w:rPr>
          <w:rFonts w:ascii="Arial" w:hAnsi="Arial" w:cs="Arial"/>
          <w:color w:val="000000"/>
          <w:sz w:val="24"/>
        </w:rPr>
      </w:pPr>
    </w:p>
    <w:p w:rsidR="00AE78B1" w:rsidRPr="00494E5D" w:rsidRDefault="003B5F32" w:rsidP="00AE78B1">
      <w:pPr>
        <w:autoSpaceDE w:val="0"/>
        <w:autoSpaceDN w:val="0"/>
        <w:adjustRightInd w:val="0"/>
        <w:rPr>
          <w:rFonts w:ascii="Arial" w:hAnsi="Arial" w:cs="Arial"/>
          <w:b/>
          <w:color w:val="000000"/>
          <w:sz w:val="24"/>
        </w:rPr>
      </w:pPr>
      <w:r w:rsidRPr="003B5F32">
        <w:rPr>
          <w:rFonts w:ascii="Arial" w:hAnsi="Arial" w:cs="Arial"/>
          <w:b/>
          <w:color w:val="000000"/>
          <w:sz w:val="24"/>
        </w:rPr>
        <w:t>Decision and Control Process</w:t>
      </w:r>
    </w:p>
    <w:p w:rsidR="00AE78B1" w:rsidRPr="001C1C70" w:rsidRDefault="00AE78B1" w:rsidP="00AE78B1">
      <w:pPr>
        <w:autoSpaceDE w:val="0"/>
        <w:autoSpaceDN w:val="0"/>
        <w:adjustRightInd w:val="0"/>
        <w:rPr>
          <w:rFonts w:ascii="Arial" w:hAnsi="Arial" w:cs="Arial"/>
          <w:color w:val="000000"/>
          <w:sz w:val="24"/>
        </w:rPr>
      </w:pP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Describes how to provide management and the customer with integrated program cost and schedule status in a way that will readily identify favorable and unfavorable cost/schedule performance areas in a timely manner.</w:t>
      </w:r>
    </w:p>
    <w:p w:rsidR="00AE78B1" w:rsidRPr="001C1C70" w:rsidRDefault="00AE78B1" w:rsidP="00AE78B1">
      <w:pPr>
        <w:autoSpaceDE w:val="0"/>
        <w:autoSpaceDN w:val="0"/>
        <w:adjustRightInd w:val="0"/>
        <w:rPr>
          <w:rFonts w:ascii="Arial" w:hAnsi="Arial" w:cs="Arial"/>
          <w:color w:val="000000"/>
          <w:sz w:val="24"/>
        </w:rPr>
      </w:pPr>
    </w:p>
    <w:p w:rsidR="00AE78B1" w:rsidRPr="00494E5D" w:rsidRDefault="003B5F32" w:rsidP="00AE78B1">
      <w:pPr>
        <w:autoSpaceDE w:val="0"/>
        <w:autoSpaceDN w:val="0"/>
        <w:adjustRightInd w:val="0"/>
        <w:rPr>
          <w:rFonts w:ascii="Arial" w:hAnsi="Arial" w:cs="Arial"/>
          <w:b/>
          <w:color w:val="000000"/>
          <w:sz w:val="24"/>
        </w:rPr>
      </w:pPr>
      <w:r w:rsidRPr="003B5F32">
        <w:rPr>
          <w:rFonts w:ascii="Arial" w:hAnsi="Arial" w:cs="Arial"/>
          <w:b/>
          <w:color w:val="000000"/>
          <w:sz w:val="24"/>
        </w:rPr>
        <w:t>Technical Performance Measurement (TPM)</w:t>
      </w:r>
    </w:p>
    <w:p w:rsidR="00AE78B1" w:rsidRPr="001C1C70" w:rsidRDefault="00AE78B1" w:rsidP="00AE78B1">
      <w:pPr>
        <w:autoSpaceDE w:val="0"/>
        <w:autoSpaceDN w:val="0"/>
        <w:adjustRightInd w:val="0"/>
        <w:rPr>
          <w:rFonts w:ascii="Arial" w:hAnsi="Arial" w:cs="Arial"/>
          <w:color w:val="000000"/>
          <w:sz w:val="24"/>
        </w:rPr>
      </w:pPr>
    </w:p>
    <w:p w:rsidR="00AE78B1" w:rsidRPr="001C1C70" w:rsidRDefault="00AE78B1" w:rsidP="00AE78B1">
      <w:pPr>
        <w:autoSpaceDE w:val="0"/>
        <w:autoSpaceDN w:val="0"/>
        <w:adjustRightInd w:val="0"/>
        <w:ind w:left="720"/>
        <w:rPr>
          <w:rFonts w:ascii="Arial" w:hAnsi="Arial" w:cs="Arial"/>
          <w:color w:val="000000"/>
          <w:sz w:val="24"/>
        </w:rPr>
      </w:pPr>
      <w:r w:rsidRPr="001C1C70">
        <w:rPr>
          <w:rFonts w:ascii="Arial" w:hAnsi="Arial" w:cs="Arial"/>
          <w:color w:val="000000"/>
          <w:sz w:val="24"/>
        </w:rPr>
        <w:t>Describes what a Technical Performance Measure (TPM) is and identifies the TPMs for the specific program. Examples of TPMs should be provided.</w:t>
      </w:r>
    </w:p>
    <w:p w:rsidR="00AE78B1" w:rsidRPr="001C1C70" w:rsidRDefault="00AE78B1" w:rsidP="00AE78B1">
      <w:pPr>
        <w:autoSpaceDE w:val="0"/>
        <w:autoSpaceDN w:val="0"/>
        <w:adjustRightInd w:val="0"/>
        <w:rPr>
          <w:rFonts w:ascii="Arial" w:hAnsi="Arial" w:cs="Arial"/>
          <w:color w:val="000000"/>
          <w:sz w:val="24"/>
        </w:rPr>
      </w:pPr>
    </w:p>
    <w:p w:rsidR="00AE78B1" w:rsidRPr="00F777F9" w:rsidRDefault="00AE78B1" w:rsidP="00F777F9">
      <w:pPr>
        <w:pStyle w:val="BodyTextIndent"/>
        <w:rPr>
          <w:rFonts w:ascii="Arial" w:hAnsi="Arial" w:cs="Arial"/>
          <w:b/>
          <w:sz w:val="24"/>
        </w:rPr>
      </w:pPr>
      <w:r w:rsidRPr="00F777F9">
        <w:rPr>
          <w:rFonts w:ascii="Arial" w:hAnsi="Arial" w:cs="Arial"/>
          <w:b/>
          <w:sz w:val="24"/>
        </w:rPr>
        <w:t>Parameters</w:t>
      </w:r>
    </w:p>
    <w:p w:rsidR="003B5F32" w:rsidRDefault="003B5F32" w:rsidP="003B5F32">
      <w:pPr>
        <w:autoSpaceDE w:val="0"/>
        <w:autoSpaceDN w:val="0"/>
        <w:adjustRightInd w:val="0"/>
        <w:ind w:left="1440"/>
        <w:rPr>
          <w:rFonts w:ascii="Arial" w:hAnsi="Arial" w:cs="Arial"/>
          <w:color w:val="000000"/>
          <w:sz w:val="24"/>
        </w:rPr>
      </w:pPr>
    </w:p>
    <w:p w:rsidR="003B5F32" w:rsidRDefault="00AE78B1" w:rsidP="003B5F32">
      <w:pPr>
        <w:pStyle w:val="BodyTextIndent2"/>
        <w:ind w:left="1440"/>
        <w:rPr>
          <w:rFonts w:ascii="Arial" w:hAnsi="Arial" w:cs="Arial"/>
          <w:sz w:val="24"/>
        </w:rPr>
      </w:pPr>
      <w:r w:rsidRPr="001C1C70">
        <w:rPr>
          <w:rFonts w:ascii="Arial" w:hAnsi="Arial" w:cs="Arial"/>
          <w:sz w:val="24"/>
        </w:rPr>
        <w:t>Describes each of the TPM parameters in detail.</w:t>
      </w:r>
    </w:p>
    <w:p w:rsidR="00AE78B1" w:rsidRPr="00F777F9" w:rsidRDefault="00AE78B1" w:rsidP="00F777F9">
      <w:pPr>
        <w:pStyle w:val="BodyTextIndent"/>
        <w:rPr>
          <w:rFonts w:ascii="Arial" w:hAnsi="Arial" w:cs="Arial"/>
          <w:b/>
          <w:sz w:val="24"/>
        </w:rPr>
      </w:pPr>
      <w:r w:rsidRPr="00F777F9">
        <w:rPr>
          <w:rFonts w:ascii="Arial" w:hAnsi="Arial" w:cs="Arial"/>
          <w:b/>
          <w:sz w:val="24"/>
        </w:rPr>
        <w:t>Planning</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autoSpaceDE w:val="0"/>
        <w:autoSpaceDN w:val="0"/>
        <w:adjustRightInd w:val="0"/>
        <w:ind w:left="1440"/>
        <w:rPr>
          <w:rFonts w:ascii="Arial" w:hAnsi="Arial" w:cs="Arial"/>
          <w:color w:val="000000"/>
          <w:sz w:val="24"/>
        </w:rPr>
      </w:pPr>
      <w:r w:rsidRPr="001C1C70">
        <w:rPr>
          <w:rFonts w:ascii="Arial" w:hAnsi="Arial" w:cs="Arial"/>
          <w:color w:val="000000"/>
          <w:sz w:val="24"/>
        </w:rPr>
        <w:t>Describes the program events related to the achievement of the parameter profile and the condition for measurement (type of test, analysis, simulation, etc.).</w:t>
      </w:r>
    </w:p>
    <w:p w:rsidR="00AE78B1" w:rsidRPr="001C1C70" w:rsidRDefault="00AE78B1" w:rsidP="00AE78B1">
      <w:pPr>
        <w:autoSpaceDE w:val="0"/>
        <w:autoSpaceDN w:val="0"/>
        <w:adjustRightInd w:val="0"/>
        <w:ind w:left="720"/>
        <w:rPr>
          <w:rFonts w:ascii="Arial" w:hAnsi="Arial" w:cs="Arial"/>
          <w:color w:val="000000"/>
          <w:sz w:val="24"/>
        </w:rPr>
      </w:pPr>
    </w:p>
    <w:p w:rsidR="00AE78B1" w:rsidRPr="00F777F9" w:rsidRDefault="00AE78B1" w:rsidP="00F777F9">
      <w:pPr>
        <w:pStyle w:val="BodyTextIndent"/>
        <w:rPr>
          <w:rFonts w:ascii="Arial" w:hAnsi="Arial" w:cs="Arial"/>
          <w:b/>
          <w:sz w:val="24"/>
        </w:rPr>
      </w:pPr>
      <w:r w:rsidRPr="00F777F9">
        <w:rPr>
          <w:rFonts w:ascii="Arial" w:hAnsi="Arial" w:cs="Arial"/>
          <w:b/>
          <w:sz w:val="24"/>
        </w:rPr>
        <w:t>Implementation of TPMs</w:t>
      </w:r>
    </w:p>
    <w:p w:rsidR="00AE78B1" w:rsidRPr="001C1C70" w:rsidRDefault="00AE78B1" w:rsidP="00AE78B1">
      <w:pPr>
        <w:autoSpaceDE w:val="0"/>
        <w:autoSpaceDN w:val="0"/>
        <w:adjustRightInd w:val="0"/>
        <w:ind w:left="720"/>
        <w:rPr>
          <w:rFonts w:ascii="Arial" w:hAnsi="Arial" w:cs="Arial"/>
          <w:color w:val="000000"/>
          <w:sz w:val="24"/>
        </w:rPr>
      </w:pPr>
    </w:p>
    <w:p w:rsidR="00AE78B1" w:rsidRPr="001C1C70" w:rsidRDefault="00AE78B1" w:rsidP="00AE78B1">
      <w:pPr>
        <w:autoSpaceDE w:val="0"/>
        <w:autoSpaceDN w:val="0"/>
        <w:adjustRightInd w:val="0"/>
        <w:ind w:left="1440"/>
        <w:rPr>
          <w:rFonts w:ascii="Arial" w:hAnsi="Arial" w:cs="Arial"/>
          <w:color w:val="000000"/>
          <w:sz w:val="24"/>
        </w:rPr>
      </w:pPr>
      <w:r w:rsidRPr="001C1C70">
        <w:rPr>
          <w:rFonts w:ascii="Arial" w:hAnsi="Arial" w:cs="Arial"/>
          <w:color w:val="000000"/>
          <w:sz w:val="24"/>
        </w:rPr>
        <w:t>Describes how the TPMs will be tracked, evaluated, and risks mitigated to ensure program success.</w:t>
      </w:r>
    </w:p>
    <w:p w:rsidR="00AE78B1" w:rsidRPr="001C1C70" w:rsidRDefault="00AE78B1" w:rsidP="00AE78B1">
      <w:pPr>
        <w:autoSpaceDE w:val="0"/>
        <w:autoSpaceDN w:val="0"/>
        <w:adjustRightInd w:val="0"/>
        <w:ind w:left="720"/>
        <w:rPr>
          <w:rFonts w:ascii="Arial" w:hAnsi="Arial" w:cs="Arial"/>
          <w:color w:val="000000"/>
          <w:sz w:val="24"/>
        </w:rPr>
      </w:pPr>
    </w:p>
    <w:p w:rsidR="00AE78B1" w:rsidRPr="00F777F9" w:rsidRDefault="00AE78B1" w:rsidP="00F777F9">
      <w:pPr>
        <w:pStyle w:val="BodyTextIndent"/>
        <w:rPr>
          <w:rFonts w:ascii="Arial" w:hAnsi="Arial" w:cs="Arial"/>
          <w:b/>
          <w:sz w:val="24"/>
        </w:rPr>
      </w:pPr>
      <w:r w:rsidRPr="00F777F9">
        <w:rPr>
          <w:rFonts w:ascii="Arial" w:hAnsi="Arial" w:cs="Arial"/>
          <w:b/>
          <w:sz w:val="24"/>
        </w:rPr>
        <w:t>Relationship of TPM to Cost and Schedule</w:t>
      </w:r>
    </w:p>
    <w:p w:rsidR="00AE78B1" w:rsidRPr="001C1C70" w:rsidRDefault="00AE78B1" w:rsidP="00AE78B1">
      <w:pPr>
        <w:autoSpaceDE w:val="0"/>
        <w:autoSpaceDN w:val="0"/>
        <w:adjustRightInd w:val="0"/>
        <w:ind w:left="720"/>
        <w:rPr>
          <w:rFonts w:ascii="Arial" w:hAnsi="Arial" w:cs="Arial"/>
          <w:color w:val="000000"/>
          <w:sz w:val="24"/>
        </w:rPr>
      </w:pPr>
    </w:p>
    <w:p w:rsidR="003B5F32" w:rsidRDefault="00AE78B1" w:rsidP="003B5F32">
      <w:pPr>
        <w:pStyle w:val="BodyTextIndent2"/>
        <w:spacing w:line="240" w:lineRule="auto"/>
        <w:rPr>
          <w:rFonts w:ascii="Arial" w:hAnsi="Arial" w:cs="Arial"/>
          <w:sz w:val="24"/>
        </w:rPr>
      </w:pPr>
      <w:r w:rsidRPr="001C1C70">
        <w:rPr>
          <w:rFonts w:ascii="Arial" w:hAnsi="Arial" w:cs="Arial"/>
          <w:sz w:val="24"/>
        </w:rPr>
        <w:t>Development of the TPM parameter tree from the WBS ensures traceability of</w:t>
      </w:r>
      <w:r w:rsidR="003D0CEC">
        <w:rPr>
          <w:rFonts w:ascii="Arial" w:hAnsi="Arial" w:cs="Arial"/>
          <w:sz w:val="24"/>
        </w:rPr>
        <w:t xml:space="preserve"> </w:t>
      </w:r>
      <w:r w:rsidRPr="001C1C70">
        <w:rPr>
          <w:rFonts w:ascii="Arial" w:hAnsi="Arial" w:cs="Arial"/>
          <w:sz w:val="24"/>
        </w:rPr>
        <w:t>technical progress to cost and schedule via the cost/schedule control system.</w:t>
      </w:r>
    </w:p>
    <w:p w:rsidR="00AE78B1" w:rsidRPr="001C1C70" w:rsidRDefault="00AE78B1" w:rsidP="00AE78B1">
      <w:pPr>
        <w:autoSpaceDE w:val="0"/>
        <w:autoSpaceDN w:val="0"/>
        <w:adjustRightInd w:val="0"/>
        <w:ind w:left="720"/>
        <w:rPr>
          <w:rFonts w:ascii="Arial" w:hAnsi="Arial" w:cs="Arial"/>
          <w:sz w:val="24"/>
        </w:rPr>
      </w:pPr>
    </w:p>
    <w:p w:rsidR="00AE78B1" w:rsidRPr="008B168B" w:rsidRDefault="003B5F32" w:rsidP="00AE78B1">
      <w:pPr>
        <w:autoSpaceDE w:val="0"/>
        <w:autoSpaceDN w:val="0"/>
        <w:adjustRightInd w:val="0"/>
        <w:rPr>
          <w:rFonts w:ascii="Arial" w:hAnsi="Arial" w:cs="Arial"/>
          <w:b/>
          <w:sz w:val="24"/>
        </w:rPr>
      </w:pPr>
      <w:r w:rsidRPr="003B5F32">
        <w:rPr>
          <w:rFonts w:ascii="Arial" w:hAnsi="Arial" w:cs="Arial"/>
          <w:b/>
          <w:sz w:val="24"/>
        </w:rPr>
        <w:t>Technical Reviews and Audits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pStyle w:val="BodyTextIndent"/>
        <w:rPr>
          <w:rFonts w:ascii="Arial" w:hAnsi="Arial" w:cs="Arial"/>
          <w:sz w:val="24"/>
        </w:rPr>
      </w:pPr>
      <w:r w:rsidRPr="001C1C70">
        <w:rPr>
          <w:rFonts w:ascii="Arial" w:hAnsi="Arial" w:cs="Arial"/>
          <w:sz w:val="24"/>
        </w:rPr>
        <w:t>This section defines what technical reviews will be held and may contain the following subsections: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Engineering Technical Reviews</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Engineering Technical Design Review Plan</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Engineering Technical Design Review Procedures</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Engineering Technical Reviews</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Subcontractor/Vendor Reviews</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Formal Technical Reviews and Audits</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Action Item Resolution</w:t>
      </w:r>
    </w:p>
    <w:p w:rsidR="00AE78B1" w:rsidRPr="001C1C70" w:rsidRDefault="00AE78B1" w:rsidP="00AE78B1">
      <w:pPr>
        <w:autoSpaceDE w:val="0"/>
        <w:autoSpaceDN w:val="0"/>
        <w:adjustRightInd w:val="0"/>
        <w:ind w:left="720"/>
        <w:rPr>
          <w:rFonts w:ascii="Arial" w:hAnsi="Arial" w:cs="Arial"/>
          <w:sz w:val="24"/>
        </w:rPr>
      </w:pPr>
    </w:p>
    <w:p w:rsidR="00AE78B1" w:rsidRPr="008B168B" w:rsidRDefault="003B5F32" w:rsidP="00AE78B1">
      <w:pPr>
        <w:autoSpaceDE w:val="0"/>
        <w:autoSpaceDN w:val="0"/>
        <w:adjustRightInd w:val="0"/>
        <w:rPr>
          <w:rFonts w:ascii="Arial" w:hAnsi="Arial" w:cs="Arial"/>
          <w:b/>
          <w:sz w:val="24"/>
        </w:rPr>
      </w:pPr>
      <w:r w:rsidRPr="003B5F32">
        <w:rPr>
          <w:rFonts w:ascii="Arial" w:hAnsi="Arial" w:cs="Arial"/>
          <w:b/>
          <w:sz w:val="24"/>
        </w:rPr>
        <w:t>Performance Monitoring and Control Reviews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pStyle w:val="BodyTextIndent"/>
        <w:rPr>
          <w:rFonts w:ascii="Arial" w:hAnsi="Arial" w:cs="Arial"/>
          <w:sz w:val="24"/>
        </w:rPr>
      </w:pPr>
      <w:r w:rsidRPr="001C1C70">
        <w:rPr>
          <w:rFonts w:ascii="Arial" w:hAnsi="Arial" w:cs="Arial"/>
          <w:sz w:val="24"/>
        </w:rPr>
        <w:t>Describes the design and program reviews that are utilized to assess the program status.</w:t>
      </w:r>
    </w:p>
    <w:p w:rsidR="00AE78B1" w:rsidRPr="001C1C70" w:rsidRDefault="00AE78B1" w:rsidP="00AE78B1">
      <w:pPr>
        <w:autoSpaceDE w:val="0"/>
        <w:autoSpaceDN w:val="0"/>
        <w:adjustRightInd w:val="0"/>
        <w:rPr>
          <w:rFonts w:ascii="Arial" w:hAnsi="Arial" w:cs="Arial"/>
          <w:sz w:val="24"/>
        </w:rPr>
      </w:pPr>
    </w:p>
    <w:p w:rsidR="00AE78B1" w:rsidRPr="008B168B" w:rsidRDefault="003B5F32" w:rsidP="00AE78B1">
      <w:pPr>
        <w:autoSpaceDE w:val="0"/>
        <w:autoSpaceDN w:val="0"/>
        <w:adjustRightInd w:val="0"/>
        <w:rPr>
          <w:rFonts w:ascii="Arial" w:hAnsi="Arial" w:cs="Arial"/>
          <w:b/>
          <w:sz w:val="24"/>
        </w:rPr>
      </w:pPr>
      <w:r w:rsidRPr="003B5F32">
        <w:rPr>
          <w:rFonts w:ascii="Arial" w:hAnsi="Arial" w:cs="Arial"/>
          <w:b/>
          <w:sz w:val="24"/>
        </w:rPr>
        <w:t>Configuration Management</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pStyle w:val="BodyTextIndent"/>
        <w:rPr>
          <w:rFonts w:ascii="Arial" w:hAnsi="Arial" w:cs="Arial"/>
          <w:sz w:val="24"/>
        </w:rPr>
      </w:pPr>
      <w:r w:rsidRPr="001C1C70">
        <w:rPr>
          <w:rFonts w:ascii="Arial" w:hAnsi="Arial" w:cs="Arial"/>
          <w:sz w:val="24"/>
        </w:rPr>
        <w:t>Describes the technical project and baseline management for the program and how it is performed through technical documentation and CM to ensure concise and centralized control of the functional, allocated, and product baselines.</w:t>
      </w:r>
    </w:p>
    <w:p w:rsidR="00AE78B1" w:rsidRPr="001C1C70" w:rsidRDefault="00AE78B1" w:rsidP="00AE78B1">
      <w:pPr>
        <w:pStyle w:val="BodyTextIndent"/>
        <w:rPr>
          <w:rFonts w:ascii="Arial" w:hAnsi="Arial" w:cs="Arial"/>
          <w:sz w:val="24"/>
        </w:rPr>
      </w:pPr>
    </w:p>
    <w:p w:rsidR="00F777F9" w:rsidRDefault="00AE78B1" w:rsidP="00F777F9">
      <w:pPr>
        <w:pStyle w:val="BodyTextIndent"/>
        <w:rPr>
          <w:rFonts w:ascii="Arial" w:hAnsi="Arial" w:cs="Arial"/>
          <w:sz w:val="24"/>
        </w:rPr>
      </w:pPr>
      <w:r w:rsidRPr="001C1C70">
        <w:rPr>
          <w:rFonts w:ascii="Arial" w:hAnsi="Arial" w:cs="Arial"/>
          <w:sz w:val="24"/>
        </w:rPr>
        <w:lastRenderedPageBreak/>
        <w:t>Describes the functions and operations of the Configuration Control Board (CCB)</w:t>
      </w:r>
    </w:p>
    <w:p w:rsidR="00F777F9" w:rsidRDefault="00F777F9" w:rsidP="00F777F9">
      <w:pPr>
        <w:pStyle w:val="BodyTextIndent"/>
        <w:rPr>
          <w:rFonts w:ascii="Arial" w:hAnsi="Arial" w:cs="Arial"/>
          <w:sz w:val="24"/>
        </w:rPr>
      </w:pPr>
    </w:p>
    <w:p w:rsidR="00AE78B1" w:rsidRPr="008B168B" w:rsidRDefault="003B5F32" w:rsidP="00F777F9">
      <w:pPr>
        <w:pStyle w:val="BodyTextIndent"/>
        <w:rPr>
          <w:rFonts w:ascii="Arial" w:hAnsi="Arial" w:cs="Arial"/>
          <w:b/>
          <w:sz w:val="24"/>
        </w:rPr>
      </w:pPr>
      <w:r w:rsidRPr="003B5F32">
        <w:rPr>
          <w:rFonts w:ascii="Arial" w:hAnsi="Arial" w:cs="Arial"/>
          <w:b/>
          <w:sz w:val="24"/>
        </w:rPr>
        <w:t>Technical Advisory Groups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Describes the responsibilities of the advisory groups, as well as identify the personnel (or types of personnel) involved in the group (e.g., ILS Management Team, Failure Review Board, etc.).</w:t>
      </w:r>
    </w:p>
    <w:p w:rsidR="00AE78B1" w:rsidRPr="001C1C70" w:rsidRDefault="00AE78B1" w:rsidP="00AE78B1">
      <w:pPr>
        <w:autoSpaceDE w:val="0"/>
        <w:autoSpaceDN w:val="0"/>
        <w:adjustRightInd w:val="0"/>
        <w:rPr>
          <w:rFonts w:ascii="Arial" w:hAnsi="Arial" w:cs="Arial"/>
          <w:sz w:val="24"/>
        </w:rPr>
      </w:pPr>
    </w:p>
    <w:p w:rsidR="00AE78B1" w:rsidRPr="008B168B" w:rsidRDefault="003B5F32" w:rsidP="00AE78B1">
      <w:pPr>
        <w:autoSpaceDE w:val="0"/>
        <w:autoSpaceDN w:val="0"/>
        <w:adjustRightInd w:val="0"/>
        <w:rPr>
          <w:rFonts w:ascii="Arial" w:hAnsi="Arial" w:cs="Arial"/>
          <w:b/>
          <w:sz w:val="24"/>
        </w:rPr>
      </w:pPr>
      <w:r w:rsidRPr="003B5F32">
        <w:rPr>
          <w:rFonts w:ascii="Arial" w:hAnsi="Arial" w:cs="Arial"/>
          <w:b/>
          <w:sz w:val="24"/>
        </w:rPr>
        <w:t>Subcontractor Monitoring and Control</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This section gives a description of how systems engineering is involved in forming the teaming agreements and/or contracts, monitoring subcontractor technical progress, and interfacing with the subcontractors.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pStyle w:val="Heading7"/>
        <w:rPr>
          <w:rFonts w:ascii="Arial" w:hAnsi="Arial" w:cs="Arial"/>
          <w:b/>
        </w:rPr>
      </w:pPr>
      <w:r w:rsidRPr="001C1C70">
        <w:rPr>
          <w:rFonts w:ascii="Arial" w:hAnsi="Arial" w:cs="Arial"/>
          <w:b/>
        </w:rPr>
        <w:t>PART II -- SYSTEM ENGINEERING PROCESS</w:t>
      </w:r>
    </w:p>
    <w:p w:rsidR="00AE78B1" w:rsidRPr="001C1C70" w:rsidRDefault="00AE78B1" w:rsidP="00AE78B1">
      <w:pPr>
        <w:autoSpaceDE w:val="0"/>
        <w:autoSpaceDN w:val="0"/>
        <w:adjustRightInd w:val="0"/>
        <w:rPr>
          <w:rFonts w:ascii="Arial" w:hAnsi="Arial" w:cs="Arial"/>
          <w:sz w:val="24"/>
        </w:rPr>
      </w:pPr>
    </w:p>
    <w:p w:rsidR="00AE78B1" w:rsidRPr="00582EBD" w:rsidRDefault="003B5F32" w:rsidP="00AE78B1">
      <w:pPr>
        <w:autoSpaceDE w:val="0"/>
        <w:autoSpaceDN w:val="0"/>
        <w:adjustRightInd w:val="0"/>
        <w:rPr>
          <w:rFonts w:ascii="Arial" w:hAnsi="Arial" w:cs="Arial"/>
          <w:b/>
          <w:sz w:val="24"/>
        </w:rPr>
      </w:pPr>
      <w:r w:rsidRPr="003B5F32">
        <w:rPr>
          <w:rFonts w:ascii="Arial" w:hAnsi="Arial" w:cs="Arial"/>
          <w:b/>
          <w:sz w:val="24"/>
        </w:rPr>
        <w:t>Technical Program Planning</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pStyle w:val="BodyTextIndent"/>
        <w:rPr>
          <w:rFonts w:ascii="Arial" w:hAnsi="Arial" w:cs="Arial"/>
          <w:sz w:val="24"/>
        </w:rPr>
      </w:pPr>
      <w:r w:rsidRPr="001C1C70">
        <w:rPr>
          <w:rFonts w:ascii="Arial" w:hAnsi="Arial" w:cs="Arial"/>
          <w:sz w:val="24"/>
        </w:rPr>
        <w:t>Describes the planning activity for the system engineering process.</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 xml:space="preserve">Top level planning involves the control and definition of the engineering tasks including levels of control established for performance, design, and test requirements, technical program assurance methods, plans and schedules for design and technical program reviews, and control of documentation. </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Customer Documents/Requirements Interpretation</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Describe how systems engineering will interpret the customer requirements by analyzing the requirements set, including the appropriate contractual documentation (SOW, RFP, etc.) for consistency and completeness. This process also involves clarification requests to initiate customer interaction in resolving requirement issues.</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High Risk Areas Definition</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4F733F">
      <w:pPr>
        <w:autoSpaceDE w:val="0"/>
        <w:autoSpaceDN w:val="0"/>
        <w:adjustRightInd w:val="0"/>
        <w:ind w:left="720"/>
        <w:rPr>
          <w:rFonts w:ascii="Arial" w:hAnsi="Arial" w:cs="Arial"/>
          <w:sz w:val="24"/>
        </w:rPr>
      </w:pPr>
      <w:r w:rsidRPr="001C1C70">
        <w:rPr>
          <w:rFonts w:ascii="Arial" w:hAnsi="Arial" w:cs="Arial"/>
          <w:sz w:val="24"/>
        </w:rPr>
        <w:t>This section provides the definition, identification, and review of high-risk areas.</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Top–Level Systems Engineering Planning</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Describes the top-level systems engineering planning process including the definition of the engineering tasks and the development and support of the engineering plans.</w:t>
      </w:r>
    </w:p>
    <w:p w:rsidR="00AE78B1" w:rsidRPr="001C1C70" w:rsidRDefault="00AE78B1" w:rsidP="00AE78B1">
      <w:pPr>
        <w:autoSpaceDE w:val="0"/>
        <w:autoSpaceDN w:val="0"/>
        <w:adjustRightInd w:val="0"/>
        <w:ind w:left="144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lastRenderedPageBreak/>
        <w:t>Resource requirements are an integral element to the task definition process.  The facilities, manpower, and time resources needed to support the program plan are determined as part of the tasking process, and are documented as part of the systems engineering schedule and in this section.</w:t>
      </w:r>
    </w:p>
    <w:p w:rsidR="00AE78B1" w:rsidRPr="001C1C70" w:rsidRDefault="00AE78B1" w:rsidP="00AE78B1">
      <w:pPr>
        <w:autoSpaceDE w:val="0"/>
        <w:autoSpaceDN w:val="0"/>
        <w:adjustRightInd w:val="0"/>
        <w:ind w:left="720"/>
        <w:rPr>
          <w:rFonts w:ascii="Arial" w:hAnsi="Arial" w:cs="Arial"/>
          <w:sz w:val="24"/>
        </w:rPr>
      </w:pPr>
    </w:p>
    <w:p w:rsidR="00AE78B1" w:rsidRPr="00582EBD" w:rsidRDefault="003B5F32" w:rsidP="00AE78B1">
      <w:pPr>
        <w:autoSpaceDE w:val="0"/>
        <w:autoSpaceDN w:val="0"/>
        <w:adjustRightInd w:val="0"/>
        <w:rPr>
          <w:rFonts w:ascii="Arial" w:hAnsi="Arial" w:cs="Arial"/>
          <w:b/>
          <w:sz w:val="24"/>
        </w:rPr>
      </w:pPr>
      <w:r w:rsidRPr="003B5F32">
        <w:rPr>
          <w:rFonts w:ascii="Arial" w:hAnsi="Arial" w:cs="Arial"/>
          <w:b/>
          <w:sz w:val="24"/>
        </w:rPr>
        <w:t>Operational Requirements Analysis</w:t>
      </w:r>
    </w:p>
    <w:p w:rsidR="00AE78B1" w:rsidRPr="001C1C70" w:rsidRDefault="00AE78B1" w:rsidP="00AE78B1">
      <w:pPr>
        <w:autoSpaceDE w:val="0"/>
        <w:autoSpaceDN w:val="0"/>
        <w:adjustRightInd w:val="0"/>
        <w:rPr>
          <w:rFonts w:ascii="Arial" w:hAnsi="Arial" w:cs="Arial"/>
          <w:sz w:val="24"/>
        </w:rPr>
      </w:pPr>
    </w:p>
    <w:p w:rsidR="003B5F32" w:rsidRDefault="00AE78B1" w:rsidP="003B5F32">
      <w:pPr>
        <w:pStyle w:val="BodyTextIndent2"/>
        <w:spacing w:line="240" w:lineRule="auto"/>
        <w:rPr>
          <w:rFonts w:ascii="Arial" w:hAnsi="Arial" w:cs="Arial"/>
          <w:sz w:val="24"/>
        </w:rPr>
      </w:pPr>
      <w:r w:rsidRPr="001C1C70">
        <w:rPr>
          <w:rFonts w:ascii="Arial" w:hAnsi="Arial" w:cs="Arial"/>
          <w:sz w:val="24"/>
        </w:rPr>
        <w:t>Include in this section the operating concept and mission analysis that are required by the scope of the program.</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Analyze Mission</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Analyzing the mission involves evaluating the mission requirements and creating a performance model to simulate the effectiveness of the system.</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Develop Mission Operating Concept</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As the primary system requirements are developed, system concepts are also identified to enable the detailed requirements definition process to proceed. Concepts evolve along the lines of the system hierarchy.  These concepts are the fundamental set of rules which determine the basis pattern of behavior for the system.</w:t>
      </w:r>
    </w:p>
    <w:p w:rsidR="00AE78B1" w:rsidRPr="001C1C70" w:rsidRDefault="00AE78B1" w:rsidP="00AE78B1">
      <w:pPr>
        <w:autoSpaceDE w:val="0"/>
        <w:autoSpaceDN w:val="0"/>
        <w:adjustRightInd w:val="0"/>
        <w:ind w:left="720"/>
        <w:rPr>
          <w:rFonts w:ascii="Arial" w:hAnsi="Arial" w:cs="Arial"/>
          <w:sz w:val="24"/>
        </w:rPr>
      </w:pPr>
    </w:p>
    <w:p w:rsidR="00AE78B1" w:rsidRPr="00582EBD" w:rsidRDefault="003B5F32" w:rsidP="00AE78B1">
      <w:pPr>
        <w:autoSpaceDE w:val="0"/>
        <w:autoSpaceDN w:val="0"/>
        <w:adjustRightInd w:val="0"/>
        <w:rPr>
          <w:rFonts w:ascii="Arial" w:hAnsi="Arial" w:cs="Arial"/>
          <w:b/>
          <w:sz w:val="24"/>
        </w:rPr>
      </w:pPr>
      <w:r w:rsidRPr="003B5F32">
        <w:rPr>
          <w:rFonts w:ascii="Arial" w:hAnsi="Arial" w:cs="Arial"/>
          <w:b/>
          <w:sz w:val="24"/>
        </w:rPr>
        <w:t>System Requirements Analysis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The System Requirements Analysis process is described.</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Program specifics should include an estimate of the number of TBD/TBRs and derived requirements, as well as some idea as to the scope in generating the system specifications.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System Requirements Assessment</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System Requirements Assessment activity involves examining each of the customer requirements to identify major requirement issues.</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TBD/TBR Planning</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Describe the TBD/TBR planning activity and the development of a technical plan addressing the requirement issues identified during System Requirements Assessment.  All requirement issues are evaluated and candidate resolutions identified.  Resolutions may be in the form of trade studies, more detailed analysis, system requirements waivers, etc.</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Develop System/Segment Specification</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lastRenderedPageBreak/>
        <w:t>Describe how the system specifications will be prepared, and requirements are allocated to an appropriate paragraph of the system specification and to complete the Requirements Traceability Matrix.</w:t>
      </w:r>
    </w:p>
    <w:p w:rsidR="00AE78B1" w:rsidRPr="00582EBD" w:rsidRDefault="003B5F32" w:rsidP="004C0554">
      <w:pPr>
        <w:keepNext/>
        <w:pageBreakBefore/>
        <w:autoSpaceDE w:val="0"/>
        <w:autoSpaceDN w:val="0"/>
        <w:adjustRightInd w:val="0"/>
        <w:rPr>
          <w:rFonts w:ascii="Arial" w:hAnsi="Arial" w:cs="Arial"/>
          <w:b/>
          <w:sz w:val="24"/>
        </w:rPr>
      </w:pPr>
      <w:r w:rsidRPr="003B5F32">
        <w:rPr>
          <w:rFonts w:ascii="Arial" w:hAnsi="Arial" w:cs="Arial"/>
          <w:b/>
          <w:sz w:val="24"/>
        </w:rPr>
        <w:lastRenderedPageBreak/>
        <w:t>Functional Analysis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pStyle w:val="BodyTextIndent"/>
        <w:rPr>
          <w:rFonts w:ascii="Arial" w:hAnsi="Arial" w:cs="Arial"/>
          <w:sz w:val="24"/>
        </w:rPr>
      </w:pPr>
      <w:r w:rsidRPr="001C1C70">
        <w:rPr>
          <w:rFonts w:ascii="Arial" w:hAnsi="Arial" w:cs="Arial"/>
          <w:sz w:val="24"/>
        </w:rPr>
        <w:t>The task of functional partitioning would be described as partitioning from the system level down.</w:t>
      </w:r>
    </w:p>
    <w:p w:rsidR="00AE78B1" w:rsidRPr="009E432A" w:rsidRDefault="00AE78B1" w:rsidP="009E432A">
      <w:pPr>
        <w:pStyle w:val="BodyTextIndent"/>
        <w:rPr>
          <w:rFonts w:ascii="Arial" w:hAnsi="Arial" w:cs="Arial"/>
          <w:sz w:val="24"/>
        </w:rPr>
      </w:pPr>
      <w:r w:rsidRPr="009E432A">
        <w:rPr>
          <w:rFonts w:ascii="Arial" w:hAnsi="Arial" w:cs="Arial"/>
          <w:sz w:val="24"/>
        </w:rPr>
        <w:t>Program specifics should include an estimate to the number of subsystems, segments, components, elements, or CI’s.</w:t>
      </w:r>
    </w:p>
    <w:p w:rsidR="00AE78B1" w:rsidRPr="001C1C70" w:rsidRDefault="00AE78B1" w:rsidP="00AE78B1">
      <w:pPr>
        <w:autoSpaceDE w:val="0"/>
        <w:autoSpaceDN w:val="0"/>
        <w:adjustRightInd w:val="0"/>
        <w:rPr>
          <w:rFonts w:ascii="Arial" w:hAnsi="Arial" w:cs="Arial"/>
          <w:sz w:val="24"/>
        </w:rPr>
      </w:pPr>
    </w:p>
    <w:p w:rsidR="00AE78B1" w:rsidRPr="00582EBD" w:rsidRDefault="003B5F32" w:rsidP="00AE78B1">
      <w:pPr>
        <w:autoSpaceDE w:val="0"/>
        <w:autoSpaceDN w:val="0"/>
        <w:adjustRightInd w:val="0"/>
        <w:rPr>
          <w:rFonts w:ascii="Arial" w:hAnsi="Arial" w:cs="Arial"/>
          <w:b/>
          <w:sz w:val="24"/>
        </w:rPr>
      </w:pPr>
      <w:r w:rsidRPr="003B5F32">
        <w:rPr>
          <w:rFonts w:ascii="Arial" w:hAnsi="Arial" w:cs="Arial"/>
          <w:b/>
          <w:sz w:val="24"/>
        </w:rPr>
        <w:t>Allocation</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582EBD">
      <w:pPr>
        <w:autoSpaceDE w:val="0"/>
        <w:autoSpaceDN w:val="0"/>
        <w:adjustRightInd w:val="0"/>
        <w:rPr>
          <w:rFonts w:ascii="Arial" w:hAnsi="Arial" w:cs="Arial"/>
          <w:sz w:val="24"/>
        </w:rPr>
      </w:pPr>
      <w:r w:rsidRPr="001C1C70">
        <w:rPr>
          <w:rFonts w:ascii="Arial" w:hAnsi="Arial" w:cs="Arial"/>
          <w:sz w:val="24"/>
        </w:rPr>
        <w:t>The task of allocation would be described as allocating the requirements from the system level down.</w:t>
      </w:r>
      <w:r w:rsidR="004079F6">
        <w:rPr>
          <w:rFonts w:ascii="Arial" w:hAnsi="Arial" w:cs="Arial"/>
          <w:sz w:val="24"/>
        </w:rPr>
        <w:t xml:space="preserve"> </w:t>
      </w:r>
      <w:r w:rsidRPr="001C1C70">
        <w:rPr>
          <w:rFonts w:ascii="Arial" w:hAnsi="Arial" w:cs="Arial"/>
          <w:sz w:val="24"/>
        </w:rPr>
        <w:t>Program specifics should include any criteria used in defining a configuration item.</w:t>
      </w:r>
    </w:p>
    <w:p w:rsidR="00AE78B1" w:rsidRPr="001C1C70" w:rsidRDefault="00AE78B1" w:rsidP="00AE78B1">
      <w:pPr>
        <w:autoSpaceDE w:val="0"/>
        <w:autoSpaceDN w:val="0"/>
        <w:adjustRightInd w:val="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Synthesis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Describe the synthesis process for the program including a description of the various specifications and documents that will be developed.  This may include:</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System Architecture Design</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System/Segment Design Document Development</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Prime Item Development Specification (PIDS) Development</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Preliminary Interface Requirements specification (IRS) Development</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Preliminary Software Requirements Specification (SRS) Development</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Preliminary Critical Item development specification (CIDS) Development</w:t>
      </w:r>
    </w:p>
    <w:p w:rsidR="00AE78B1" w:rsidRPr="001C1C70" w:rsidRDefault="00AE78B1" w:rsidP="00AE78B1">
      <w:pPr>
        <w:autoSpaceDE w:val="0"/>
        <w:autoSpaceDN w:val="0"/>
        <w:adjustRightInd w:val="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Trade Studies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Describes the process and purpose of trade studies.</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 xml:space="preserve">Program specifics need to define the planned trade studies to be performed. </w:t>
      </w:r>
    </w:p>
    <w:p w:rsidR="00AE78B1" w:rsidRPr="001C1C70" w:rsidRDefault="00AE78B1" w:rsidP="00AE78B1">
      <w:pPr>
        <w:autoSpaceDE w:val="0"/>
        <w:autoSpaceDN w:val="0"/>
        <w:adjustRightInd w:val="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Technical Project Management Support</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This section describes the tasks involved for the engineering management role.  The purpose of Technical Project Management Support is to provide the interface between PMO, support functions and the engineering teams.  Technical Project Management Support also provides the technical planning and direction for the systems engineering team to execute.  Support is provided to the program management office by providing planning estimates for work to be accomplished.  Topics to be included are:</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Respond to Program Management Office/Customer Requests</w:t>
      </w:r>
    </w:p>
    <w:p w:rsidR="00AE78B1" w:rsidRPr="001C1C70" w:rsidRDefault="00AE78B1" w:rsidP="00AE78B1">
      <w:pPr>
        <w:autoSpaceDE w:val="0"/>
        <w:autoSpaceDN w:val="0"/>
        <w:adjustRightInd w:val="0"/>
        <w:ind w:left="720"/>
        <w:rPr>
          <w:rFonts w:ascii="Arial" w:hAnsi="Arial" w:cs="Arial"/>
          <w:sz w:val="24"/>
        </w:rPr>
      </w:pPr>
    </w:p>
    <w:p w:rsidR="003B5F32" w:rsidRDefault="00AE78B1" w:rsidP="003B5F32">
      <w:pPr>
        <w:pStyle w:val="BodyTextIndent2"/>
        <w:spacing w:line="240" w:lineRule="auto"/>
        <w:rPr>
          <w:rFonts w:ascii="Arial" w:hAnsi="Arial" w:cs="Arial"/>
          <w:sz w:val="24"/>
        </w:rPr>
      </w:pPr>
      <w:r w:rsidRPr="001C1C70">
        <w:rPr>
          <w:rFonts w:ascii="Arial" w:hAnsi="Arial" w:cs="Arial"/>
          <w:sz w:val="24"/>
        </w:rPr>
        <w:t>Providing clearly defined relationships between the customer and contractor(s) and other participants.</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lastRenderedPageBreak/>
        <w:t>Participate/Coordinate Change Control Board Activities</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Perform System Engineering Control</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Support Formal/Engineering Technical Reviews</w:t>
      </w: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Subcontractor Management</w:t>
      </w:r>
    </w:p>
    <w:p w:rsidR="00AE78B1" w:rsidRPr="001C1C70" w:rsidRDefault="00AE78B1" w:rsidP="00AE78B1">
      <w:pPr>
        <w:autoSpaceDE w:val="0"/>
        <w:autoSpaceDN w:val="0"/>
        <w:adjustRightInd w:val="0"/>
        <w:ind w:left="72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System Test and Evaluation Planning</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Describe the system test and evaluation planning process including the creation of test plans and procedures, the identification of Special Test Equipment, the Failure Reporting and Corrective Action System, support hardware and software, and facilities requirements.  The interfaces required to perform system test and evaluation planning should also be described.</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Various system tests anticipated should be described:</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System Integration and Performance Test</w:t>
      </w: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System Acceptance Testing</w:t>
      </w:r>
    </w:p>
    <w:p w:rsidR="00AE78B1" w:rsidRPr="001C1C70" w:rsidRDefault="00AE78B1" w:rsidP="00AE78B1">
      <w:pPr>
        <w:autoSpaceDE w:val="0"/>
        <w:autoSpaceDN w:val="0"/>
        <w:adjustRightInd w:val="0"/>
        <w:ind w:left="144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Design to Cost and Life Cycle Cost Analysis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Describe the overall Life–Cycle Cost (LCC) objective which is to provide program management with the out year cost visibility needed to influence the evolving design so it yields proper balance between technical performance and LCC.  Describe how LCC (and/or DTC) is to be done.</w:t>
      </w:r>
    </w:p>
    <w:p w:rsidR="00AE78B1" w:rsidRPr="001C1C70" w:rsidRDefault="00AE78B1" w:rsidP="00AE78B1">
      <w:pPr>
        <w:autoSpaceDE w:val="0"/>
        <w:autoSpaceDN w:val="0"/>
        <w:adjustRightInd w:val="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Production Engineering Analysis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rPr>
          <w:rFonts w:ascii="Arial" w:hAnsi="Arial" w:cs="Arial"/>
          <w:sz w:val="24"/>
        </w:rPr>
      </w:pPr>
      <w:r w:rsidRPr="001C1C70">
        <w:rPr>
          <w:rFonts w:ascii="Arial" w:hAnsi="Arial" w:cs="Arial"/>
          <w:sz w:val="24"/>
        </w:rPr>
        <w:t>The capability to produce a hardware item satisfying mission objectives is as essential as the ability to properly define and design it.  For this reason, production engineering analysis forms an integral part of the system engineering process.  It includes producibility analyses, production engineering inputs to system effectiveness, trade studies, life cycle cost analyses, and the consideration of the materials, tools, test equipment, facilities, personnel, and procedures which support manufacturing in RDT&amp;E and production.  All these topics should be discussed in this section.</w:t>
      </w:r>
    </w:p>
    <w:p w:rsidR="00AE78B1" w:rsidRPr="001C1C70" w:rsidRDefault="00AE78B1" w:rsidP="00AE78B1">
      <w:pPr>
        <w:autoSpaceDE w:val="0"/>
        <w:autoSpaceDN w:val="0"/>
        <w:adjustRightInd w:val="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Systems Engineering Tools and Facilities</w:t>
      </w:r>
    </w:p>
    <w:p w:rsidR="00AE78B1" w:rsidRPr="001C1C70" w:rsidRDefault="00AE78B1" w:rsidP="00AE78B1">
      <w:pPr>
        <w:pStyle w:val="BodyTextIndent2"/>
        <w:ind w:left="720"/>
        <w:rPr>
          <w:rFonts w:ascii="Arial" w:hAnsi="Arial" w:cs="Arial"/>
          <w:sz w:val="24"/>
        </w:rPr>
      </w:pPr>
    </w:p>
    <w:p w:rsidR="003B5F32" w:rsidRDefault="00AE78B1" w:rsidP="003B5F32">
      <w:pPr>
        <w:pStyle w:val="BodyTextIndent2"/>
        <w:spacing w:line="240" w:lineRule="auto"/>
        <w:ind w:left="720"/>
        <w:rPr>
          <w:rFonts w:ascii="Arial" w:hAnsi="Arial" w:cs="Arial"/>
          <w:sz w:val="24"/>
        </w:rPr>
      </w:pPr>
      <w:r w:rsidRPr="001C1C70">
        <w:rPr>
          <w:rFonts w:ascii="Arial" w:hAnsi="Arial" w:cs="Arial"/>
          <w:sz w:val="24"/>
        </w:rPr>
        <w:t>This section should describe the tools and the engineering facilities to perform systems, software, and test engineering.</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3B5F32" w:rsidP="00AE78B1">
      <w:pPr>
        <w:autoSpaceDE w:val="0"/>
        <w:autoSpaceDN w:val="0"/>
        <w:adjustRightInd w:val="0"/>
        <w:rPr>
          <w:rFonts w:ascii="Arial" w:hAnsi="Arial" w:cs="Arial"/>
          <w:sz w:val="24"/>
        </w:rPr>
      </w:pPr>
      <w:r w:rsidRPr="003B5F32">
        <w:rPr>
          <w:rFonts w:ascii="Arial" w:hAnsi="Arial" w:cs="Arial"/>
          <w:b/>
          <w:sz w:val="24"/>
        </w:rPr>
        <w:t>Generation of Specifications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 xml:space="preserve">This section should describe how systems engineering will translate the top–level requirements into component–level requirements, both direct and derived, for </w:t>
      </w:r>
      <w:r w:rsidRPr="001C1C70">
        <w:rPr>
          <w:rFonts w:ascii="Arial" w:hAnsi="Arial" w:cs="Arial"/>
          <w:sz w:val="24"/>
        </w:rPr>
        <w:lastRenderedPageBreak/>
        <w:t>hardware, software and manual operations.  Any automated tools used for specification documentation should be described.</w:t>
      </w:r>
    </w:p>
    <w:p w:rsidR="00AE78B1" w:rsidRPr="001C1C70" w:rsidRDefault="00AE78B1" w:rsidP="00AE78B1">
      <w:pPr>
        <w:autoSpaceDE w:val="0"/>
        <w:autoSpaceDN w:val="0"/>
        <w:adjustRightInd w:val="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Requirements/Design Traceability</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 xml:space="preserve">Describe the process used for requirements/design traceability (automated or manual).  The program specifics should be related to the actual program specification tree. </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pStyle w:val="Heading7"/>
        <w:rPr>
          <w:rFonts w:ascii="Arial" w:hAnsi="Arial" w:cs="Arial"/>
          <w:b/>
        </w:rPr>
      </w:pPr>
      <w:r w:rsidRPr="001C1C70">
        <w:rPr>
          <w:rFonts w:ascii="Arial" w:hAnsi="Arial" w:cs="Arial"/>
          <w:b/>
        </w:rPr>
        <w:t>PART III -- ENGINEERING SPECIALTY INTEGRATION</w:t>
      </w:r>
    </w:p>
    <w:p w:rsidR="00AE78B1" w:rsidRPr="001C1C70" w:rsidRDefault="00AE78B1" w:rsidP="00AE78B1">
      <w:pPr>
        <w:autoSpaceDE w:val="0"/>
        <w:autoSpaceDN w:val="0"/>
        <w:adjustRightInd w:val="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Integration and Coordination of Engineering Specialty Areas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Describe the efforts to integrate the requirements of the specialty engineering disciplines into the mainstream system design effort.  If the specialty discipline has a separate program plan, then the plan should be referenced.</w:t>
      </w:r>
    </w:p>
    <w:p w:rsidR="00AE78B1" w:rsidRPr="001C1C70" w:rsidRDefault="00AE78B1" w:rsidP="00AE78B1">
      <w:pPr>
        <w:autoSpaceDE w:val="0"/>
        <w:autoSpaceDN w:val="0"/>
        <w:adjustRightInd w:val="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Specialty Engineering/Integration Requirements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The design, development, and production of the system require integration across all engineering and programmatic disciplines.  This section should address the integration of specialty engineering disciplines with the other disciplines.</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pStyle w:val="BodyTextIndent"/>
        <w:rPr>
          <w:rFonts w:ascii="Arial" w:hAnsi="Arial" w:cs="Arial"/>
          <w:sz w:val="24"/>
        </w:rPr>
      </w:pPr>
      <w:r w:rsidRPr="001C1C70">
        <w:rPr>
          <w:rFonts w:ascii="Arial" w:hAnsi="Arial" w:cs="Arial"/>
          <w:sz w:val="24"/>
        </w:rPr>
        <w:t>Specialty Engineering (typical) areas may include:</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Reliability Engineering</w:t>
      </w: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Maintainability Engineering</w:t>
      </w: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Survivability/Vulnerability Engineering</w:t>
      </w: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Operability/Human Engineering (O/HE)</w:t>
      </w: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Safety Engineering</w:t>
      </w: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Integrated Logistic Support Engineering</w:t>
      </w: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Value Engineering</w:t>
      </w:r>
    </w:p>
    <w:p w:rsidR="00AE78B1" w:rsidRPr="001C1C70" w:rsidRDefault="00AE78B1" w:rsidP="00AE78B1">
      <w:pPr>
        <w:autoSpaceDE w:val="0"/>
        <w:autoSpaceDN w:val="0"/>
        <w:adjustRightInd w:val="0"/>
        <w:ind w:left="1440"/>
        <w:rPr>
          <w:rFonts w:ascii="Arial" w:hAnsi="Arial" w:cs="Arial"/>
          <w:sz w:val="24"/>
        </w:rPr>
      </w:pPr>
      <w:r w:rsidRPr="001C1C70">
        <w:rPr>
          <w:rFonts w:ascii="Arial" w:hAnsi="Arial" w:cs="Arial"/>
          <w:sz w:val="24"/>
        </w:rPr>
        <w:t>Design–to–Cost Engineering</w:t>
      </w:r>
    </w:p>
    <w:p w:rsidR="00AE78B1" w:rsidRPr="001C1C70" w:rsidRDefault="00AE78B1" w:rsidP="00AE78B1">
      <w:pPr>
        <w:autoSpaceDE w:val="0"/>
        <w:autoSpaceDN w:val="0"/>
        <w:adjustRightInd w:val="0"/>
        <w:rPr>
          <w:rFonts w:ascii="Arial" w:hAnsi="Arial" w:cs="Arial"/>
          <w:sz w:val="24"/>
        </w:rPr>
      </w:pPr>
    </w:p>
    <w:p w:rsidR="00AE78B1" w:rsidRPr="00BB2EBC" w:rsidRDefault="003B5F32" w:rsidP="00AE78B1">
      <w:pPr>
        <w:autoSpaceDE w:val="0"/>
        <w:autoSpaceDN w:val="0"/>
        <w:adjustRightInd w:val="0"/>
        <w:rPr>
          <w:rFonts w:ascii="Arial" w:hAnsi="Arial" w:cs="Arial"/>
          <w:b/>
          <w:sz w:val="24"/>
        </w:rPr>
      </w:pPr>
      <w:r w:rsidRPr="003B5F32">
        <w:rPr>
          <w:rFonts w:ascii="Arial" w:hAnsi="Arial" w:cs="Arial"/>
          <w:b/>
          <w:sz w:val="24"/>
        </w:rPr>
        <w:t>Appendices</w:t>
      </w:r>
    </w:p>
    <w:p w:rsidR="00AE78B1" w:rsidRPr="001C1C70" w:rsidRDefault="00AE78B1" w:rsidP="00AE78B1">
      <w:pPr>
        <w:autoSpaceDE w:val="0"/>
        <w:autoSpaceDN w:val="0"/>
        <w:adjustRightInd w:val="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 xml:space="preserve">ACRONYM LIST </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PROGRAM SCHEDULES</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WORK BREAKDOWN STRUCTURE</w:t>
      </w:r>
    </w:p>
    <w:p w:rsidR="00AE78B1" w:rsidRPr="001C1C70" w:rsidRDefault="00AE78B1" w:rsidP="00AE78B1">
      <w:pPr>
        <w:autoSpaceDE w:val="0"/>
        <w:autoSpaceDN w:val="0"/>
        <w:adjustRightInd w:val="0"/>
        <w:ind w:left="720"/>
        <w:rPr>
          <w:rFonts w:ascii="Arial" w:hAnsi="Arial" w:cs="Arial"/>
          <w:sz w:val="24"/>
        </w:rPr>
      </w:pPr>
    </w:p>
    <w:p w:rsidR="00AE78B1" w:rsidRPr="001C1C70" w:rsidRDefault="00AE78B1" w:rsidP="00AE78B1">
      <w:pPr>
        <w:autoSpaceDE w:val="0"/>
        <w:autoSpaceDN w:val="0"/>
        <w:adjustRightInd w:val="0"/>
        <w:ind w:left="720"/>
        <w:rPr>
          <w:rFonts w:ascii="Arial" w:hAnsi="Arial" w:cs="Arial"/>
          <w:sz w:val="24"/>
        </w:rPr>
      </w:pPr>
      <w:r w:rsidRPr="001C1C70">
        <w:rPr>
          <w:rFonts w:ascii="Arial" w:hAnsi="Arial" w:cs="Arial"/>
          <w:sz w:val="24"/>
        </w:rPr>
        <w:t>TECHNICAL PERFORMANCE MEASUREMENT (TPM) PERFORMANCE PROFILES AND MITIGATION PLANS</w:t>
      </w:r>
    </w:p>
    <w:sectPr w:rsidR="00AE78B1" w:rsidRPr="001C1C70" w:rsidSect="00AC5FC1">
      <w:headerReference w:type="default" r:id="rId8"/>
      <w:footerReference w:type="default" r:id="rId9"/>
      <w:pgSz w:w="12240" w:h="15840" w:code="1"/>
      <w:pgMar w:top="87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71D" w:rsidRDefault="004C071D">
      <w:r>
        <w:separator/>
      </w:r>
    </w:p>
  </w:endnote>
  <w:endnote w:type="continuationSeparator" w:id="0">
    <w:p w:rsidR="004C071D" w:rsidRDefault="004C07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Cs w:val="22"/>
      </w:rPr>
      <w:id w:val="565050477"/>
      <w:docPartObj>
        <w:docPartGallery w:val="Page Numbers (Top of Page)"/>
        <w:docPartUnique/>
      </w:docPartObj>
    </w:sdtPr>
    <w:sdtContent>
      <w:p w:rsidR="00EC1343" w:rsidRDefault="00EC1343" w:rsidP="007B027B">
        <w:pPr>
          <w:pStyle w:val="Footer"/>
          <w:tabs>
            <w:tab w:val="center" w:pos="4680"/>
            <w:tab w:val="right" w:pos="9360"/>
          </w:tabs>
          <w:jc w:val="center"/>
        </w:pPr>
        <w:r w:rsidRPr="007B027B">
          <w:rPr>
            <w:rFonts w:ascii="Arial" w:hAnsi="Arial" w:cs="Arial"/>
            <w:szCs w:val="22"/>
          </w:rPr>
          <w:t xml:space="preserve">Page </w:t>
        </w:r>
        <w:r w:rsidR="00873E9D" w:rsidRPr="007B027B">
          <w:rPr>
            <w:rFonts w:ascii="Arial" w:hAnsi="Arial" w:cs="Arial"/>
            <w:b/>
            <w:szCs w:val="22"/>
          </w:rPr>
          <w:fldChar w:fldCharType="begin"/>
        </w:r>
        <w:r w:rsidRPr="007B027B">
          <w:rPr>
            <w:rFonts w:ascii="Arial" w:hAnsi="Arial" w:cs="Arial"/>
            <w:b/>
            <w:szCs w:val="22"/>
          </w:rPr>
          <w:instrText xml:space="preserve"> PAGE </w:instrText>
        </w:r>
        <w:r w:rsidR="00873E9D" w:rsidRPr="007B027B">
          <w:rPr>
            <w:rFonts w:ascii="Arial" w:hAnsi="Arial" w:cs="Arial"/>
            <w:b/>
            <w:szCs w:val="22"/>
          </w:rPr>
          <w:fldChar w:fldCharType="separate"/>
        </w:r>
        <w:r w:rsidR="005D2F0F">
          <w:rPr>
            <w:rFonts w:ascii="Arial" w:hAnsi="Arial" w:cs="Arial"/>
            <w:b/>
            <w:noProof/>
            <w:szCs w:val="22"/>
          </w:rPr>
          <w:t>2</w:t>
        </w:r>
        <w:r w:rsidR="00873E9D" w:rsidRPr="007B027B">
          <w:rPr>
            <w:rFonts w:ascii="Arial" w:hAnsi="Arial" w:cs="Arial"/>
            <w:b/>
            <w:szCs w:val="22"/>
          </w:rPr>
          <w:fldChar w:fldCharType="end"/>
        </w:r>
        <w:r w:rsidRPr="007B027B">
          <w:rPr>
            <w:rFonts w:ascii="Arial" w:hAnsi="Arial" w:cs="Arial"/>
            <w:szCs w:val="22"/>
          </w:rPr>
          <w:t xml:space="preserve"> of </w:t>
        </w:r>
        <w:r w:rsidR="00873E9D" w:rsidRPr="007B027B">
          <w:rPr>
            <w:rFonts w:ascii="Arial" w:hAnsi="Arial" w:cs="Arial"/>
            <w:b/>
            <w:szCs w:val="22"/>
          </w:rPr>
          <w:fldChar w:fldCharType="begin"/>
        </w:r>
        <w:r w:rsidRPr="007B027B">
          <w:rPr>
            <w:rFonts w:ascii="Arial" w:hAnsi="Arial" w:cs="Arial"/>
            <w:b/>
            <w:szCs w:val="22"/>
          </w:rPr>
          <w:instrText xml:space="preserve"> NUMPAGES  </w:instrText>
        </w:r>
        <w:r w:rsidR="00873E9D" w:rsidRPr="007B027B">
          <w:rPr>
            <w:rFonts w:ascii="Arial" w:hAnsi="Arial" w:cs="Arial"/>
            <w:b/>
            <w:szCs w:val="22"/>
          </w:rPr>
          <w:fldChar w:fldCharType="separate"/>
        </w:r>
        <w:r w:rsidR="005D2F0F">
          <w:rPr>
            <w:rFonts w:ascii="Arial" w:hAnsi="Arial" w:cs="Arial"/>
            <w:b/>
            <w:noProof/>
            <w:szCs w:val="22"/>
          </w:rPr>
          <w:t>11</w:t>
        </w:r>
        <w:r w:rsidR="00873E9D" w:rsidRPr="007B027B">
          <w:rPr>
            <w:rFonts w:ascii="Arial" w:hAnsi="Arial" w:cs="Arial"/>
            <w:b/>
            <w:szCs w:val="22"/>
          </w:rPr>
          <w:fldChar w:fldCharType="end"/>
        </w:r>
      </w:p>
    </w:sdtContent>
  </w:sdt>
  <w:p w:rsidR="00EC1343" w:rsidRDefault="00EC13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71D" w:rsidRDefault="004C071D">
      <w:r>
        <w:separator/>
      </w:r>
    </w:p>
  </w:footnote>
  <w:footnote w:type="continuationSeparator" w:id="0">
    <w:p w:rsidR="004C071D" w:rsidRDefault="004C07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343" w:rsidRPr="0004369F" w:rsidRDefault="00EC1343" w:rsidP="00B71204">
    <w:pPr>
      <w:pStyle w:val="Header"/>
      <w:jc w:val="right"/>
      <w:rPr>
        <w:rFonts w:cs="Arial"/>
        <w:sz w:val="22"/>
        <w:szCs w:val="22"/>
      </w:rPr>
    </w:pPr>
    <w:r w:rsidRPr="0004369F">
      <w:rPr>
        <w:rFonts w:cs="Arial"/>
        <w:noProof/>
        <w:sz w:val="22"/>
        <w:szCs w:val="22"/>
      </w:rPr>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1352550" cy="457200"/>
          <wp:effectExtent l="19050" t="0" r="0" b="0"/>
          <wp:wrapThrough wrapText="bothSides">
            <wp:wrapPolygon edited="0">
              <wp:start x="-304" y="0"/>
              <wp:lineTo x="-304" y="20700"/>
              <wp:lineTo x="21600" y="20700"/>
              <wp:lineTo x="21600" y="0"/>
              <wp:lineTo x="-304" y="0"/>
            </wp:wrapPolygon>
          </wp:wrapThrough>
          <wp:docPr id="6" name="Picture 1" descr="K:\PROGOPS\AECOM\400_TECHNICAL\431_Final_Forms_Checklists\TDOT Logos\logohorizlowres-b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ROGOPS\AECOM\400_TECHNICAL\431_Final_Forms_Checklists\TDOT Logos\logohorizlowres-bnw.jpg"/>
                  <pic:cNvPicPr>
                    <a:picLocks noChangeAspect="1" noChangeArrowheads="1"/>
                  </pic:cNvPicPr>
                </pic:nvPicPr>
                <pic:blipFill>
                  <a:blip r:embed="rId1"/>
                  <a:srcRect/>
                  <a:stretch>
                    <a:fillRect/>
                  </a:stretch>
                </pic:blipFill>
                <pic:spPr bwMode="auto">
                  <a:xfrm>
                    <a:off x="0" y="0"/>
                    <a:ext cx="1352550" cy="457200"/>
                  </a:xfrm>
                  <a:prstGeom prst="rect">
                    <a:avLst/>
                  </a:prstGeom>
                  <a:noFill/>
                  <a:ln w="9525">
                    <a:noFill/>
                    <a:miter lim="800000"/>
                    <a:headEnd/>
                    <a:tailEnd/>
                  </a:ln>
                </pic:spPr>
              </pic:pic>
            </a:graphicData>
          </a:graphic>
        </wp:anchor>
      </w:drawing>
    </w:r>
    <w:r>
      <w:rPr>
        <w:rFonts w:cs="Arial"/>
        <w:noProof/>
        <w:sz w:val="22"/>
        <w:szCs w:val="22"/>
      </w:rPr>
      <w:t>Traffic Design Manual – Chapter 8</w:t>
    </w:r>
    <w:r>
      <w:rPr>
        <w:rFonts w:cs="Arial"/>
        <w:sz w:val="22"/>
        <w:szCs w:val="22"/>
      </w:rPr>
      <w:t xml:space="preserve"> Form</w:t>
    </w:r>
  </w:p>
  <w:p w:rsidR="00EC1343" w:rsidRPr="0004369F" w:rsidRDefault="00EC1343" w:rsidP="00B71204">
    <w:pPr>
      <w:pStyle w:val="Header"/>
      <w:jc w:val="right"/>
      <w:rPr>
        <w:rFonts w:cs="Arial"/>
        <w:sz w:val="22"/>
        <w:szCs w:val="22"/>
      </w:rPr>
    </w:pPr>
    <w:r>
      <w:rPr>
        <w:rFonts w:cs="Arial"/>
        <w:sz w:val="22"/>
        <w:szCs w:val="22"/>
      </w:rPr>
      <w:t>March</w:t>
    </w:r>
    <w:r w:rsidRPr="0004369F">
      <w:rPr>
        <w:rFonts w:cs="Arial"/>
        <w:sz w:val="22"/>
        <w:szCs w:val="22"/>
      </w:rPr>
      <w:t>, 2011</w:t>
    </w:r>
  </w:p>
  <w:p w:rsidR="00EC1343" w:rsidRPr="0005144E" w:rsidRDefault="00EC1343" w:rsidP="00B71204">
    <w:pPr>
      <w:pStyle w:val="Header"/>
      <w:rPr>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0C14DFA0"/>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5DBC7868"/>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E1761B04"/>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4EDE1F72"/>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58E0E9F0"/>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6CF6B4A"/>
    <w:multiLevelType w:val="hybridMultilevel"/>
    <w:tmpl w:val="7D92A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EC3AEE"/>
    <w:multiLevelType w:val="hybridMultilevel"/>
    <w:tmpl w:val="FA3C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E22B55"/>
    <w:multiLevelType w:val="hybridMultilevel"/>
    <w:tmpl w:val="5E126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B7D6479"/>
    <w:multiLevelType w:val="hybridMultilevel"/>
    <w:tmpl w:val="A964D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DE08B0"/>
    <w:multiLevelType w:val="hybridMultilevel"/>
    <w:tmpl w:val="D9AC435C"/>
    <w:lvl w:ilvl="0" w:tplc="DC5069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4DA1609"/>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1">
    <w:nsid w:val="16B27169"/>
    <w:multiLevelType w:val="hybridMultilevel"/>
    <w:tmpl w:val="3202C042"/>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F13DA9"/>
    <w:multiLevelType w:val="hybridMultilevel"/>
    <w:tmpl w:val="82E4CF38"/>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19144836"/>
    <w:multiLevelType w:val="hybridMultilevel"/>
    <w:tmpl w:val="11EA9B64"/>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1B1A6BDA"/>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5">
    <w:nsid w:val="20B62721"/>
    <w:multiLevelType w:val="multilevel"/>
    <w:tmpl w:val="8DD0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EB557D"/>
    <w:multiLevelType w:val="multilevel"/>
    <w:tmpl w:val="322E8FE8"/>
    <w:lvl w:ilvl="0">
      <w:start w:val="1"/>
      <w:numFmt w:val="decimal"/>
      <w:pStyle w:val="NumberedList"/>
      <w:lvlText w:val="%1.)"/>
      <w:lvlJc w:val="lef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7">
    <w:nsid w:val="2B2552D4"/>
    <w:multiLevelType w:val="hybridMultilevel"/>
    <w:tmpl w:val="B6881396"/>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EC2E94"/>
    <w:multiLevelType w:val="hybridMultilevel"/>
    <w:tmpl w:val="378AF29A"/>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2770C"/>
    <w:multiLevelType w:val="hybridMultilevel"/>
    <w:tmpl w:val="A226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8969B6"/>
    <w:multiLevelType w:val="hybridMultilevel"/>
    <w:tmpl w:val="E90AB7F8"/>
    <w:lvl w:ilvl="0" w:tplc="B19E9EAE">
      <w:start w:val="1"/>
      <w:numFmt w:val="bullet"/>
      <w:pStyle w:val="Bullet1stlisting"/>
      <w:lvlText w:val=""/>
      <w:lvlJc w:val="left"/>
      <w:pPr>
        <w:tabs>
          <w:tab w:val="num" w:pos="1080"/>
        </w:tabs>
        <w:ind w:left="108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7F3011"/>
    <w:multiLevelType w:val="multilevel"/>
    <w:tmpl w:val="E8605D72"/>
    <w:lvl w:ilvl="0">
      <w:start w:val="8"/>
      <w:numFmt w:val="decimal"/>
      <w:pStyle w:val="Heading1"/>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vanish w:val="0"/>
        <w:color w:val="FFFFFF" w:themeColor="background1"/>
        <w:spacing w:val="0"/>
        <w:kern w:val="0"/>
        <w:position w:val="0"/>
        <w:sz w:val="28"/>
        <w:u w:val="none"/>
        <w:vertAlign w:val="baseline"/>
        <w:em w:val="none"/>
      </w:rPr>
    </w:lvl>
    <w:lvl w:ilvl="1">
      <w:start w:val="2"/>
      <w:numFmt w:val="decimal"/>
      <w:pStyle w:val="Heading2"/>
      <w:lvlText w:val="%1.%2"/>
      <w:lvlJc w:val="left"/>
      <w:pPr>
        <w:tabs>
          <w:tab w:val="num" w:pos="720"/>
        </w:tabs>
        <w:ind w:left="72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2">
      <w:start w:val="1"/>
      <w:numFmt w:val="decimal"/>
      <w:pStyle w:val="Heading3"/>
      <w:lvlText w:val="%1.%2.%3"/>
      <w:lvlJc w:val="left"/>
      <w:pPr>
        <w:ind w:left="144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3">
      <w:start w:val="1"/>
      <w:numFmt w:val="decimal"/>
      <w:pStyle w:val="Heading4"/>
      <w:lvlText w:val="%1.%2.%3.%4"/>
      <w:lvlJc w:val="left"/>
      <w:pPr>
        <w:tabs>
          <w:tab w:val="num" w:pos="1080"/>
        </w:tabs>
        <w:ind w:left="1080" w:hanging="360"/>
      </w:pPr>
      <w:rPr>
        <w:rFonts w:ascii="Arial Bold" w:hAnsi="Arial Bold" w:hint="default"/>
        <w:b/>
        <w:i w:val="0"/>
        <w:caps w:val="0"/>
        <w:strike w:val="0"/>
        <w:dstrike w:val="0"/>
        <w:outline w:val="0"/>
        <w:shadow w:val="0"/>
        <w:emboss w:val="0"/>
        <w:imprint w:val="0"/>
        <w:vanish w:val="0"/>
        <w:color w:val="auto"/>
        <w:sz w:val="24"/>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2">
    <w:nsid w:val="384601B4"/>
    <w:multiLevelType w:val="hybridMultilevel"/>
    <w:tmpl w:val="1F9E5CD4"/>
    <w:lvl w:ilvl="0" w:tplc="04090019">
      <w:start w:val="1"/>
      <w:numFmt w:val="lowerLetter"/>
      <w:lvlText w:val="%1."/>
      <w:lvlJc w:val="left"/>
      <w:pPr>
        <w:ind w:left="252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B54446A"/>
    <w:multiLevelType w:val="hybridMultilevel"/>
    <w:tmpl w:val="B28C1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B332E7"/>
    <w:multiLevelType w:val="hybridMultilevel"/>
    <w:tmpl w:val="05088018"/>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C96242"/>
    <w:multiLevelType w:val="hybridMultilevel"/>
    <w:tmpl w:val="81D6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C12005"/>
    <w:multiLevelType w:val="hybridMultilevel"/>
    <w:tmpl w:val="4678C8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B8B5492"/>
    <w:multiLevelType w:val="multilevel"/>
    <w:tmpl w:val="7896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D2547F3"/>
    <w:multiLevelType w:val="multilevel"/>
    <w:tmpl w:val="F588F42E"/>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5."/>
      <w:lvlJc w:val="left"/>
      <w:pPr>
        <w:tabs>
          <w:tab w:val="num" w:pos="1368"/>
        </w:tabs>
        <w:ind w:left="1368" w:hanging="1008"/>
      </w:pPr>
      <w:rPr>
        <w:rFonts w:hint="default"/>
        <w:b/>
        <w:i w:val="0"/>
        <w:caps/>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9">
    <w:nsid w:val="4D88111F"/>
    <w:multiLevelType w:val="hybridMultilevel"/>
    <w:tmpl w:val="25E058CA"/>
    <w:lvl w:ilvl="0" w:tplc="9D007ECA">
      <w:start w:val="1"/>
      <w:numFmt w:val="bullet"/>
      <w:pStyle w:val="Bullet2ndlisting"/>
      <w:lvlText w:val=""/>
      <w:lvlJc w:val="left"/>
      <w:pPr>
        <w:tabs>
          <w:tab w:val="num" w:pos="2520"/>
        </w:tabs>
        <w:ind w:left="252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4F9C4E1B"/>
    <w:multiLevelType w:val="hybridMultilevel"/>
    <w:tmpl w:val="4322F72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752BA2"/>
    <w:multiLevelType w:val="hybridMultilevel"/>
    <w:tmpl w:val="4E16FEC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52C2DBF"/>
    <w:multiLevelType w:val="multilevel"/>
    <w:tmpl w:val="43C682CC"/>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33">
    <w:nsid w:val="580E5700"/>
    <w:multiLevelType w:val="hybridMultilevel"/>
    <w:tmpl w:val="BB6251F8"/>
    <w:lvl w:ilvl="0" w:tplc="F2369190">
      <w:start w:val="1"/>
      <w:numFmt w:val="decimal"/>
      <w:pStyle w:val="LowRiskFormItem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AA707C"/>
    <w:multiLevelType w:val="hybridMultilevel"/>
    <w:tmpl w:val="139C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B95DC4"/>
    <w:multiLevelType w:val="hybridMultilevel"/>
    <w:tmpl w:val="D77674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4630735"/>
    <w:multiLevelType w:val="multilevel"/>
    <w:tmpl w:val="E8FCB492"/>
    <w:lvl w:ilvl="0">
      <w:start w:val="1"/>
      <w:numFmt w:val="decimal"/>
      <w:lvlText w:val="%1."/>
      <w:lvlJc w:val="left"/>
      <w:pPr>
        <w:tabs>
          <w:tab w:val="num" w:pos="864"/>
        </w:tabs>
        <w:ind w:left="864" w:hanging="864"/>
      </w:pPr>
      <w:rPr>
        <w:rFonts w:ascii="Arial" w:hAnsi="Arial" w:hint="default"/>
        <w:b/>
        <w:i w:val="0"/>
        <w:color w:val="auto"/>
        <w:sz w:val="32"/>
        <w:szCs w:val="32"/>
      </w:rPr>
    </w:lvl>
    <w:lvl w:ilvl="1">
      <w:start w:val="1"/>
      <w:numFmt w:val="decimal"/>
      <w:lvlRestart w:val="0"/>
      <w:pStyle w:val="Style1"/>
      <w:lvlText w:val="%1.%2"/>
      <w:lvlJc w:val="left"/>
      <w:pPr>
        <w:tabs>
          <w:tab w:val="num" w:pos="864"/>
        </w:tabs>
        <w:ind w:left="864" w:hanging="864"/>
      </w:pPr>
      <w:rPr>
        <w:rFonts w:ascii="Arial" w:hAnsi="Arial" w:hint="default"/>
        <w:b/>
        <w:i/>
        <w:color w:val="auto"/>
        <w:sz w:val="28"/>
        <w:szCs w:val="28"/>
      </w:rPr>
    </w:lvl>
    <w:lvl w:ilvl="2">
      <w:start w:val="1"/>
      <w:numFmt w:val="decimal"/>
      <w:lvlText w:val="%1.%2.%3"/>
      <w:lvlJc w:val="left"/>
      <w:pPr>
        <w:tabs>
          <w:tab w:val="num" w:pos="864"/>
        </w:tabs>
        <w:ind w:left="864" w:hanging="864"/>
      </w:pPr>
      <w:rPr>
        <w:rFonts w:ascii="Arial" w:hAnsi="Arial" w:hint="default"/>
        <w:b w:val="0"/>
        <w:i/>
        <w:sz w:val="24"/>
        <w:szCs w:val="24"/>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37">
    <w:nsid w:val="663E2C75"/>
    <w:multiLevelType w:val="hybridMultilevel"/>
    <w:tmpl w:val="A112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726601"/>
    <w:multiLevelType w:val="multilevel"/>
    <w:tmpl w:val="E0EE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715452"/>
    <w:multiLevelType w:val="hybridMultilevel"/>
    <w:tmpl w:val="07522F4A"/>
    <w:lvl w:ilvl="0" w:tplc="90965F20">
      <w:start w:val="1"/>
      <w:numFmt w:val="decimal"/>
      <w:pStyle w:val="Appendix1"/>
      <w:lvlText w:val="%1."/>
      <w:lvlJc w:val="left"/>
      <w:pPr>
        <w:ind w:left="1080" w:hanging="360"/>
      </w:pPr>
      <w:rPr>
        <w:rFonts w:hint="default"/>
      </w:rPr>
    </w:lvl>
    <w:lvl w:ilvl="1" w:tplc="D34E0BB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6C32B2"/>
    <w:multiLevelType w:val="hybridMultilevel"/>
    <w:tmpl w:val="CA628EBE"/>
    <w:lvl w:ilvl="0" w:tplc="38E04672">
      <w:start w:val="1"/>
      <w:numFmt w:val="bullet"/>
      <w:lvlText w:val=""/>
      <w:lvlJc w:val="left"/>
      <w:pPr>
        <w:tabs>
          <w:tab w:val="num" w:pos="936"/>
        </w:tabs>
        <w:ind w:left="936" w:hanging="288"/>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66FDB"/>
    <w:multiLevelType w:val="hybridMultilevel"/>
    <w:tmpl w:val="63924830"/>
    <w:lvl w:ilvl="0" w:tplc="E01635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9"/>
  </w:num>
  <w:num w:numId="3">
    <w:abstractNumId w:val="10"/>
  </w:num>
  <w:num w:numId="4">
    <w:abstractNumId w:val="4"/>
  </w:num>
  <w:num w:numId="5">
    <w:abstractNumId w:val="3"/>
  </w:num>
  <w:num w:numId="6">
    <w:abstractNumId w:val="2"/>
  </w:num>
  <w:num w:numId="7">
    <w:abstractNumId w:val="1"/>
  </w:num>
  <w:num w:numId="8">
    <w:abstractNumId w:val="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lvl w:ilvl="0" w:tplc="DC5069E2">
        <w:start w:val="1"/>
        <w:numFmt w:val="decimal"/>
        <w:lvlText w:val="%1.)"/>
        <w:lvlJc w:val="left"/>
        <w:pPr>
          <w:ind w:left="1800" w:hanging="360"/>
        </w:pPr>
        <w:rPr>
          <w:rFonts w:hint="default"/>
        </w:rPr>
      </w:lvl>
    </w:lvlOverride>
    <w:lvlOverride w:ilvl="1">
      <w:lvl w:ilvl="1" w:tplc="04090019" w:tentative="1">
        <w:start w:val="1"/>
        <w:numFmt w:val="lowerLetter"/>
        <w:lvlText w:val="%2."/>
        <w:lvlJc w:val="left"/>
        <w:pPr>
          <w:ind w:left="2520" w:hanging="360"/>
        </w:pPr>
      </w:lvl>
    </w:lvlOverride>
    <w:lvlOverride w:ilvl="2">
      <w:lvl w:ilvl="2" w:tplc="0409001B" w:tentative="1">
        <w:start w:val="1"/>
        <w:numFmt w:val="lowerRoman"/>
        <w:lvlText w:val="%3."/>
        <w:lvlJc w:val="right"/>
        <w:pPr>
          <w:ind w:left="3240" w:hanging="180"/>
        </w:pPr>
      </w:lvl>
    </w:lvlOverride>
    <w:lvlOverride w:ilvl="3">
      <w:lvl w:ilvl="3" w:tplc="0409000F" w:tentative="1">
        <w:start w:val="1"/>
        <w:numFmt w:val="decimal"/>
        <w:lvlText w:val="%4."/>
        <w:lvlJc w:val="left"/>
        <w:pPr>
          <w:ind w:left="3960" w:hanging="360"/>
        </w:pPr>
      </w:lvl>
    </w:lvlOverride>
    <w:lvlOverride w:ilvl="4">
      <w:lvl w:ilvl="4" w:tplc="04090019" w:tentative="1">
        <w:start w:val="1"/>
        <w:numFmt w:val="lowerLetter"/>
        <w:lvlText w:val="%5."/>
        <w:lvlJc w:val="left"/>
        <w:pPr>
          <w:ind w:left="4680" w:hanging="360"/>
        </w:pPr>
      </w:lvl>
    </w:lvlOverride>
    <w:lvlOverride w:ilvl="5">
      <w:lvl w:ilvl="5" w:tplc="0409001B" w:tentative="1">
        <w:start w:val="1"/>
        <w:numFmt w:val="lowerRoman"/>
        <w:lvlText w:val="%6."/>
        <w:lvlJc w:val="right"/>
        <w:pPr>
          <w:ind w:left="5400" w:hanging="180"/>
        </w:pPr>
      </w:lvl>
    </w:lvlOverride>
    <w:lvlOverride w:ilvl="6">
      <w:lvl w:ilvl="6" w:tplc="0409000F" w:tentative="1">
        <w:start w:val="1"/>
        <w:numFmt w:val="decimal"/>
        <w:lvlText w:val="%7."/>
        <w:lvlJc w:val="left"/>
        <w:pPr>
          <w:ind w:left="6120" w:hanging="360"/>
        </w:pPr>
      </w:lvl>
    </w:lvlOverride>
    <w:lvlOverride w:ilvl="7">
      <w:lvl w:ilvl="7" w:tplc="04090019" w:tentative="1">
        <w:start w:val="1"/>
        <w:numFmt w:val="lowerLetter"/>
        <w:lvlText w:val="%8."/>
        <w:lvlJc w:val="left"/>
        <w:pPr>
          <w:ind w:left="6840" w:hanging="360"/>
        </w:pPr>
      </w:lvl>
    </w:lvlOverride>
    <w:lvlOverride w:ilvl="8">
      <w:lvl w:ilvl="8" w:tplc="0409001B" w:tentative="1">
        <w:start w:val="1"/>
        <w:numFmt w:val="lowerRoman"/>
        <w:lvlText w:val="%9."/>
        <w:lvlJc w:val="right"/>
        <w:pPr>
          <w:ind w:left="7560" w:hanging="180"/>
        </w:pPr>
      </w:lvl>
    </w:lvlOverride>
  </w:num>
  <w:num w:numId="18">
    <w:abstractNumId w:val="9"/>
    <w:lvlOverride w:ilvl="0">
      <w:startOverride w:val="1"/>
      <w:lvl w:ilvl="0" w:tplc="DC5069E2">
        <w:start w:val="1"/>
        <w:numFmt w:val="decimal"/>
        <w:lvlText w:val="%1.)"/>
        <w:lvlJc w:val="left"/>
        <w:pPr>
          <w:ind w:left="1800" w:hanging="360"/>
        </w:pPr>
        <w:rPr>
          <w:rFonts w:hint="default"/>
        </w:rPr>
      </w:lvl>
    </w:lvlOverride>
  </w:num>
  <w:num w:numId="19">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num>
  <w:num w:numId="21">
    <w:abstractNumId w:val="9"/>
    <w:lvlOverride w:ilvl="0">
      <w:startOverride w:val="1"/>
    </w:lvlOverride>
  </w:num>
  <w:num w:numId="22">
    <w:abstractNumId w:val="16"/>
  </w:num>
  <w:num w:numId="23">
    <w:abstractNumId w:val="27"/>
  </w:num>
  <w:num w:numId="24">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6"/>
  </w:num>
  <w:num w:numId="27">
    <w:abstractNumId w:val="30"/>
  </w:num>
  <w:num w:numId="28">
    <w:abstractNumId w:val="18"/>
  </w:num>
  <w:num w:numId="29">
    <w:abstractNumId w:val="11"/>
  </w:num>
  <w:num w:numId="30">
    <w:abstractNumId w:val="13"/>
  </w:num>
  <w:num w:numId="31">
    <w:abstractNumId w:val="12"/>
  </w:num>
  <w:num w:numId="32">
    <w:abstractNumId w:val="31"/>
  </w:num>
  <w:num w:numId="33">
    <w:abstractNumId w:val="15"/>
  </w:num>
  <w:num w:numId="34">
    <w:abstractNumId w:val="26"/>
  </w:num>
  <w:num w:numId="35">
    <w:abstractNumId w:val="41"/>
  </w:num>
  <w:num w:numId="36">
    <w:abstractNumId w:val="35"/>
  </w:num>
  <w:num w:numId="37">
    <w:abstractNumId w:val="7"/>
  </w:num>
  <w:num w:numId="38">
    <w:abstractNumId w:val="33"/>
  </w:num>
  <w:num w:numId="39">
    <w:abstractNumId w:val="40"/>
  </w:num>
  <w:num w:numId="40">
    <w:abstractNumId w:val="34"/>
  </w:num>
  <w:num w:numId="41">
    <w:abstractNumId w:val="37"/>
  </w:num>
  <w:num w:numId="42">
    <w:abstractNumId w:val="8"/>
  </w:num>
  <w:num w:numId="43">
    <w:abstractNumId w:val="19"/>
  </w:num>
  <w:num w:numId="44">
    <w:abstractNumId w:val="25"/>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
  </w:num>
  <w:num w:numId="52">
    <w:abstractNumId w:val="20"/>
  </w:num>
  <w:num w:numId="53">
    <w:abstractNumId w:val="39"/>
  </w:num>
  <w:num w:numId="54">
    <w:abstractNumId w:val="22"/>
  </w:num>
  <w:num w:numId="55">
    <w:abstractNumId w:val="24"/>
  </w:num>
  <w:num w:numId="56">
    <w:abstractNumId w:val="17"/>
  </w:num>
  <w:num w:numId="57">
    <w:abstractNumId w:val="14"/>
  </w:num>
  <w:num w:numId="58">
    <w:abstractNumId w:val="32"/>
  </w:num>
  <w:num w:numId="59">
    <w:abstractNumId w:val="28"/>
  </w:num>
  <w:num w:numId="60">
    <w:abstractNumId w:val="21"/>
    <w:lvlOverride w:ilvl="0">
      <w:startOverride w:val="2"/>
    </w:lvlOverride>
    <w:lvlOverride w:ilvl="1">
      <w:startOverride w:val="1"/>
    </w:lvlOverride>
  </w:num>
  <w:num w:numId="61">
    <w:abstractNumId w:val="21"/>
  </w:num>
  <w:num w:numId="62">
    <w:abstractNumId w:val="21"/>
  </w:num>
  <w:num w:numId="6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2"/>
    </w:lvlOverride>
    <w:lvlOverride w:ilvl="1">
      <w:startOverride w:val="1"/>
    </w:lvlOverride>
  </w:num>
  <w:num w:numId="65">
    <w:abstractNumId w:val="21"/>
    <w:lvlOverride w:ilvl="0">
      <w:startOverride w:val="2"/>
    </w:lvlOverride>
    <w:lvlOverride w:ilvl="1">
      <w:startOverride w:val="1"/>
    </w:lvlOverride>
  </w:num>
  <w:num w:numId="66">
    <w:abstractNumId w:val="6"/>
  </w:num>
  <w:num w:numId="67">
    <w:abstractNumId w:val="33"/>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ocumentProtection w:edit="readOnly" w:enforcement="1" w:cryptProviderType="rsaFull" w:cryptAlgorithmClass="hash" w:cryptAlgorithmType="typeAny" w:cryptAlgorithmSid="4" w:cryptSpinCount="100000" w:hash="O42ZCB6aRIiOUs9hcgdspuAmWw8=" w:salt="hMuet+yq9A5A7gQg/WFc7w=="/>
  <w:defaultTabStop w:val="720"/>
  <w:drawingGridHorizontalSpacing w:val="110"/>
  <w:displayHorizontalDrawingGridEvery w:val="2"/>
  <w:displayVerticalDrawingGridEvery w:val="2"/>
  <w:characterSpacingControl w:val="doNotCompress"/>
  <w:hdrShapeDefaults>
    <o:shapedefaults v:ext="edit" spidmax="91138"/>
  </w:hdrShapeDefaults>
  <w:footnotePr>
    <w:footnote w:id="-1"/>
    <w:footnote w:id="0"/>
  </w:footnotePr>
  <w:endnotePr>
    <w:endnote w:id="-1"/>
    <w:endnote w:id="0"/>
  </w:endnotePr>
  <w:compat/>
  <w:rsids>
    <w:rsidRoot w:val="003247CB"/>
    <w:rsid w:val="00001D14"/>
    <w:rsid w:val="0000513A"/>
    <w:rsid w:val="00007774"/>
    <w:rsid w:val="00015108"/>
    <w:rsid w:val="00020C15"/>
    <w:rsid w:val="00020DC0"/>
    <w:rsid w:val="00022108"/>
    <w:rsid w:val="0002677F"/>
    <w:rsid w:val="00027124"/>
    <w:rsid w:val="00027369"/>
    <w:rsid w:val="00032409"/>
    <w:rsid w:val="00032697"/>
    <w:rsid w:val="000425EC"/>
    <w:rsid w:val="000454E5"/>
    <w:rsid w:val="00056A2B"/>
    <w:rsid w:val="0005789D"/>
    <w:rsid w:val="0006079F"/>
    <w:rsid w:val="000660DE"/>
    <w:rsid w:val="00066888"/>
    <w:rsid w:val="00067407"/>
    <w:rsid w:val="00067530"/>
    <w:rsid w:val="00073F8D"/>
    <w:rsid w:val="00075DA2"/>
    <w:rsid w:val="00081A8A"/>
    <w:rsid w:val="000825CC"/>
    <w:rsid w:val="000903EB"/>
    <w:rsid w:val="00091A32"/>
    <w:rsid w:val="00093441"/>
    <w:rsid w:val="00093917"/>
    <w:rsid w:val="0009491E"/>
    <w:rsid w:val="00095770"/>
    <w:rsid w:val="000A56BC"/>
    <w:rsid w:val="000A6326"/>
    <w:rsid w:val="000A6906"/>
    <w:rsid w:val="000B4455"/>
    <w:rsid w:val="000B79F9"/>
    <w:rsid w:val="000C0D72"/>
    <w:rsid w:val="000C0EC2"/>
    <w:rsid w:val="000C1E4D"/>
    <w:rsid w:val="000C2CD3"/>
    <w:rsid w:val="000D3FB0"/>
    <w:rsid w:val="000D781E"/>
    <w:rsid w:val="000E0722"/>
    <w:rsid w:val="000E4EF2"/>
    <w:rsid w:val="000E5A75"/>
    <w:rsid w:val="000E6EFF"/>
    <w:rsid w:val="000E7C00"/>
    <w:rsid w:val="000E7CF6"/>
    <w:rsid w:val="000F321A"/>
    <w:rsid w:val="000F4567"/>
    <w:rsid w:val="000F5AC3"/>
    <w:rsid w:val="00100570"/>
    <w:rsid w:val="001015CF"/>
    <w:rsid w:val="00101F7F"/>
    <w:rsid w:val="00104120"/>
    <w:rsid w:val="0010474F"/>
    <w:rsid w:val="00107A11"/>
    <w:rsid w:val="00111097"/>
    <w:rsid w:val="0011262C"/>
    <w:rsid w:val="0011471F"/>
    <w:rsid w:val="00115689"/>
    <w:rsid w:val="00116DEF"/>
    <w:rsid w:val="00121CCE"/>
    <w:rsid w:val="001247DB"/>
    <w:rsid w:val="00126824"/>
    <w:rsid w:val="00135B94"/>
    <w:rsid w:val="00140745"/>
    <w:rsid w:val="001526C6"/>
    <w:rsid w:val="00152A90"/>
    <w:rsid w:val="001561C6"/>
    <w:rsid w:val="001574CA"/>
    <w:rsid w:val="00161940"/>
    <w:rsid w:val="00164638"/>
    <w:rsid w:val="001653E7"/>
    <w:rsid w:val="001656B1"/>
    <w:rsid w:val="00165E94"/>
    <w:rsid w:val="001678EC"/>
    <w:rsid w:val="0017422C"/>
    <w:rsid w:val="00180130"/>
    <w:rsid w:val="0018374D"/>
    <w:rsid w:val="001946F6"/>
    <w:rsid w:val="00197B39"/>
    <w:rsid w:val="001A0165"/>
    <w:rsid w:val="001A0D10"/>
    <w:rsid w:val="001A14E2"/>
    <w:rsid w:val="001A259C"/>
    <w:rsid w:val="001A602B"/>
    <w:rsid w:val="001B1C02"/>
    <w:rsid w:val="001B2E75"/>
    <w:rsid w:val="001B7B0A"/>
    <w:rsid w:val="001C1C70"/>
    <w:rsid w:val="001C1F92"/>
    <w:rsid w:val="001D0822"/>
    <w:rsid w:val="001D36FE"/>
    <w:rsid w:val="001D4111"/>
    <w:rsid w:val="001D63DF"/>
    <w:rsid w:val="001D77E7"/>
    <w:rsid w:val="001D7921"/>
    <w:rsid w:val="001E677A"/>
    <w:rsid w:val="001F141D"/>
    <w:rsid w:val="001F2F51"/>
    <w:rsid w:val="001F69C2"/>
    <w:rsid w:val="002010EC"/>
    <w:rsid w:val="00201A99"/>
    <w:rsid w:val="00203461"/>
    <w:rsid w:val="00204B75"/>
    <w:rsid w:val="00204FF8"/>
    <w:rsid w:val="002051F8"/>
    <w:rsid w:val="002053E2"/>
    <w:rsid w:val="00207621"/>
    <w:rsid w:val="00207CFE"/>
    <w:rsid w:val="002157F2"/>
    <w:rsid w:val="00216D9A"/>
    <w:rsid w:val="002304EB"/>
    <w:rsid w:val="00230B31"/>
    <w:rsid w:val="002362E3"/>
    <w:rsid w:val="00243336"/>
    <w:rsid w:val="002448AA"/>
    <w:rsid w:val="00245CA4"/>
    <w:rsid w:val="002516B0"/>
    <w:rsid w:val="00253921"/>
    <w:rsid w:val="002636CA"/>
    <w:rsid w:val="00265F32"/>
    <w:rsid w:val="00266149"/>
    <w:rsid w:val="00266889"/>
    <w:rsid w:val="00270E07"/>
    <w:rsid w:val="00270F52"/>
    <w:rsid w:val="002720A5"/>
    <w:rsid w:val="00272DD4"/>
    <w:rsid w:val="002735DC"/>
    <w:rsid w:val="00274669"/>
    <w:rsid w:val="002755FF"/>
    <w:rsid w:val="00277FF6"/>
    <w:rsid w:val="00281E81"/>
    <w:rsid w:val="00283E48"/>
    <w:rsid w:val="002856AC"/>
    <w:rsid w:val="00290658"/>
    <w:rsid w:val="00292CCC"/>
    <w:rsid w:val="00296129"/>
    <w:rsid w:val="002A31C2"/>
    <w:rsid w:val="002B05E5"/>
    <w:rsid w:val="002B284F"/>
    <w:rsid w:val="002B4461"/>
    <w:rsid w:val="002B6752"/>
    <w:rsid w:val="002B7DF1"/>
    <w:rsid w:val="002C0C24"/>
    <w:rsid w:val="002C4D69"/>
    <w:rsid w:val="002C59F6"/>
    <w:rsid w:val="002C65FA"/>
    <w:rsid w:val="002D359F"/>
    <w:rsid w:val="002D4F14"/>
    <w:rsid w:val="002D66B0"/>
    <w:rsid w:val="002E04B8"/>
    <w:rsid w:val="002E41A8"/>
    <w:rsid w:val="002E597C"/>
    <w:rsid w:val="002E688A"/>
    <w:rsid w:val="002F06DF"/>
    <w:rsid w:val="002F7A30"/>
    <w:rsid w:val="003003CA"/>
    <w:rsid w:val="003005E3"/>
    <w:rsid w:val="00301D2D"/>
    <w:rsid w:val="003030CF"/>
    <w:rsid w:val="00303526"/>
    <w:rsid w:val="003037AA"/>
    <w:rsid w:val="003047BC"/>
    <w:rsid w:val="00305F96"/>
    <w:rsid w:val="0031139C"/>
    <w:rsid w:val="003174D6"/>
    <w:rsid w:val="003209EB"/>
    <w:rsid w:val="003232F9"/>
    <w:rsid w:val="003234D6"/>
    <w:rsid w:val="0032476D"/>
    <w:rsid w:val="003247CB"/>
    <w:rsid w:val="00324A9A"/>
    <w:rsid w:val="00324F1A"/>
    <w:rsid w:val="00326A95"/>
    <w:rsid w:val="00327356"/>
    <w:rsid w:val="00330480"/>
    <w:rsid w:val="003317B0"/>
    <w:rsid w:val="00337FF9"/>
    <w:rsid w:val="00342D56"/>
    <w:rsid w:val="00342F7B"/>
    <w:rsid w:val="003443A4"/>
    <w:rsid w:val="0035231E"/>
    <w:rsid w:val="00355559"/>
    <w:rsid w:val="00355DED"/>
    <w:rsid w:val="00360250"/>
    <w:rsid w:val="00371FB8"/>
    <w:rsid w:val="00373536"/>
    <w:rsid w:val="00375597"/>
    <w:rsid w:val="00377B7C"/>
    <w:rsid w:val="00382C1D"/>
    <w:rsid w:val="00384F58"/>
    <w:rsid w:val="00387AC7"/>
    <w:rsid w:val="00391D41"/>
    <w:rsid w:val="00395652"/>
    <w:rsid w:val="003A1A04"/>
    <w:rsid w:val="003B132A"/>
    <w:rsid w:val="003B4265"/>
    <w:rsid w:val="003B50AA"/>
    <w:rsid w:val="003B53D5"/>
    <w:rsid w:val="003B5F32"/>
    <w:rsid w:val="003B60FD"/>
    <w:rsid w:val="003B65B8"/>
    <w:rsid w:val="003B72F5"/>
    <w:rsid w:val="003D028B"/>
    <w:rsid w:val="003D0CEC"/>
    <w:rsid w:val="003D17DE"/>
    <w:rsid w:val="003E4647"/>
    <w:rsid w:val="003E6D27"/>
    <w:rsid w:val="003E7DB7"/>
    <w:rsid w:val="003F295D"/>
    <w:rsid w:val="003F3E10"/>
    <w:rsid w:val="003F6D21"/>
    <w:rsid w:val="004008B8"/>
    <w:rsid w:val="00403A19"/>
    <w:rsid w:val="00404930"/>
    <w:rsid w:val="004079F6"/>
    <w:rsid w:val="00413679"/>
    <w:rsid w:val="00414391"/>
    <w:rsid w:val="0041668B"/>
    <w:rsid w:val="00417A4E"/>
    <w:rsid w:val="004203E1"/>
    <w:rsid w:val="00422576"/>
    <w:rsid w:val="00422AD3"/>
    <w:rsid w:val="004233D3"/>
    <w:rsid w:val="00423AF9"/>
    <w:rsid w:val="00425BC5"/>
    <w:rsid w:val="00432F3B"/>
    <w:rsid w:val="00443EBA"/>
    <w:rsid w:val="004444A4"/>
    <w:rsid w:val="00450C27"/>
    <w:rsid w:val="004570D4"/>
    <w:rsid w:val="0046634E"/>
    <w:rsid w:val="0047363B"/>
    <w:rsid w:val="00476CAE"/>
    <w:rsid w:val="0048007D"/>
    <w:rsid w:val="00482E95"/>
    <w:rsid w:val="00482F96"/>
    <w:rsid w:val="004833BC"/>
    <w:rsid w:val="00483804"/>
    <w:rsid w:val="00486987"/>
    <w:rsid w:val="00487134"/>
    <w:rsid w:val="0049004B"/>
    <w:rsid w:val="00491ABD"/>
    <w:rsid w:val="0049270D"/>
    <w:rsid w:val="00494E5D"/>
    <w:rsid w:val="00496A69"/>
    <w:rsid w:val="004A1A79"/>
    <w:rsid w:val="004A36D5"/>
    <w:rsid w:val="004A7640"/>
    <w:rsid w:val="004B422D"/>
    <w:rsid w:val="004B5209"/>
    <w:rsid w:val="004B6298"/>
    <w:rsid w:val="004B6382"/>
    <w:rsid w:val="004C0125"/>
    <w:rsid w:val="004C0554"/>
    <w:rsid w:val="004C071D"/>
    <w:rsid w:val="004C1832"/>
    <w:rsid w:val="004C2354"/>
    <w:rsid w:val="004C47FA"/>
    <w:rsid w:val="004C756E"/>
    <w:rsid w:val="004D1123"/>
    <w:rsid w:val="004D2726"/>
    <w:rsid w:val="004D2FE0"/>
    <w:rsid w:val="004D35D9"/>
    <w:rsid w:val="004D3ED9"/>
    <w:rsid w:val="004D6563"/>
    <w:rsid w:val="004D76D1"/>
    <w:rsid w:val="004D7C75"/>
    <w:rsid w:val="004E0B25"/>
    <w:rsid w:val="004E0FDD"/>
    <w:rsid w:val="004E246A"/>
    <w:rsid w:val="004E412D"/>
    <w:rsid w:val="004E4B10"/>
    <w:rsid w:val="004E5488"/>
    <w:rsid w:val="004F0E67"/>
    <w:rsid w:val="004F14F0"/>
    <w:rsid w:val="004F1877"/>
    <w:rsid w:val="004F557B"/>
    <w:rsid w:val="004F6225"/>
    <w:rsid w:val="004F730A"/>
    <w:rsid w:val="004F733F"/>
    <w:rsid w:val="0050068A"/>
    <w:rsid w:val="00500F35"/>
    <w:rsid w:val="00503AFA"/>
    <w:rsid w:val="00506CB5"/>
    <w:rsid w:val="00511937"/>
    <w:rsid w:val="005126E2"/>
    <w:rsid w:val="00520307"/>
    <w:rsid w:val="00522E7B"/>
    <w:rsid w:val="0052490F"/>
    <w:rsid w:val="00524A57"/>
    <w:rsid w:val="005433CA"/>
    <w:rsid w:val="00553622"/>
    <w:rsid w:val="00553FA0"/>
    <w:rsid w:val="00554D0D"/>
    <w:rsid w:val="0056184D"/>
    <w:rsid w:val="00563CBA"/>
    <w:rsid w:val="00567198"/>
    <w:rsid w:val="00571550"/>
    <w:rsid w:val="00571AFB"/>
    <w:rsid w:val="00573FEE"/>
    <w:rsid w:val="00575D71"/>
    <w:rsid w:val="00582EBD"/>
    <w:rsid w:val="00583DE2"/>
    <w:rsid w:val="00585ACD"/>
    <w:rsid w:val="00587F2D"/>
    <w:rsid w:val="00594052"/>
    <w:rsid w:val="005953DA"/>
    <w:rsid w:val="00595917"/>
    <w:rsid w:val="005A2FF8"/>
    <w:rsid w:val="005A359E"/>
    <w:rsid w:val="005A36ED"/>
    <w:rsid w:val="005A5CE4"/>
    <w:rsid w:val="005B3AD6"/>
    <w:rsid w:val="005C147A"/>
    <w:rsid w:val="005C3FAE"/>
    <w:rsid w:val="005C520A"/>
    <w:rsid w:val="005C5AB4"/>
    <w:rsid w:val="005C7836"/>
    <w:rsid w:val="005D2F0F"/>
    <w:rsid w:val="005D55A6"/>
    <w:rsid w:val="005D6C64"/>
    <w:rsid w:val="005D6F60"/>
    <w:rsid w:val="005F119A"/>
    <w:rsid w:val="005F2D3F"/>
    <w:rsid w:val="005F4417"/>
    <w:rsid w:val="005F5B7C"/>
    <w:rsid w:val="005F7914"/>
    <w:rsid w:val="00603BA1"/>
    <w:rsid w:val="00616F69"/>
    <w:rsid w:val="00617DE2"/>
    <w:rsid w:val="006250A4"/>
    <w:rsid w:val="00630B5F"/>
    <w:rsid w:val="00632863"/>
    <w:rsid w:val="006328A6"/>
    <w:rsid w:val="006328A9"/>
    <w:rsid w:val="00636817"/>
    <w:rsid w:val="00636E10"/>
    <w:rsid w:val="00644C1A"/>
    <w:rsid w:val="00652895"/>
    <w:rsid w:val="006556CE"/>
    <w:rsid w:val="00656AA8"/>
    <w:rsid w:val="00656D36"/>
    <w:rsid w:val="00660E2E"/>
    <w:rsid w:val="00666605"/>
    <w:rsid w:val="00667A47"/>
    <w:rsid w:val="006709D9"/>
    <w:rsid w:val="0067160C"/>
    <w:rsid w:val="00671D14"/>
    <w:rsid w:val="00672C9B"/>
    <w:rsid w:val="006752E2"/>
    <w:rsid w:val="00676DD8"/>
    <w:rsid w:val="00676DEF"/>
    <w:rsid w:val="00677428"/>
    <w:rsid w:val="0068037B"/>
    <w:rsid w:val="006815B1"/>
    <w:rsid w:val="006821DC"/>
    <w:rsid w:val="00683B68"/>
    <w:rsid w:val="00685459"/>
    <w:rsid w:val="006864C9"/>
    <w:rsid w:val="006873C3"/>
    <w:rsid w:val="00687C6F"/>
    <w:rsid w:val="00694624"/>
    <w:rsid w:val="0069546A"/>
    <w:rsid w:val="0069782C"/>
    <w:rsid w:val="006A3197"/>
    <w:rsid w:val="006A4300"/>
    <w:rsid w:val="006A4778"/>
    <w:rsid w:val="006A534E"/>
    <w:rsid w:val="006A7D99"/>
    <w:rsid w:val="006B63BD"/>
    <w:rsid w:val="006B7003"/>
    <w:rsid w:val="006B7956"/>
    <w:rsid w:val="006C415C"/>
    <w:rsid w:val="006C4F1A"/>
    <w:rsid w:val="006C549D"/>
    <w:rsid w:val="006C7828"/>
    <w:rsid w:val="006C79DA"/>
    <w:rsid w:val="006D3761"/>
    <w:rsid w:val="006D3D78"/>
    <w:rsid w:val="006D426E"/>
    <w:rsid w:val="006D493D"/>
    <w:rsid w:val="006D58D7"/>
    <w:rsid w:val="006E0867"/>
    <w:rsid w:val="006E7543"/>
    <w:rsid w:val="006F3022"/>
    <w:rsid w:val="006F4F16"/>
    <w:rsid w:val="006F535C"/>
    <w:rsid w:val="00700A0F"/>
    <w:rsid w:val="00705421"/>
    <w:rsid w:val="00715AA4"/>
    <w:rsid w:val="00717C2E"/>
    <w:rsid w:val="007204CD"/>
    <w:rsid w:val="00725EAB"/>
    <w:rsid w:val="007336E2"/>
    <w:rsid w:val="00745DDE"/>
    <w:rsid w:val="00752642"/>
    <w:rsid w:val="00753248"/>
    <w:rsid w:val="007543DC"/>
    <w:rsid w:val="00755B6E"/>
    <w:rsid w:val="007615BD"/>
    <w:rsid w:val="00761A6A"/>
    <w:rsid w:val="007637D1"/>
    <w:rsid w:val="00764552"/>
    <w:rsid w:val="00770332"/>
    <w:rsid w:val="007711C2"/>
    <w:rsid w:val="0077210A"/>
    <w:rsid w:val="0077271B"/>
    <w:rsid w:val="007759EA"/>
    <w:rsid w:val="00777014"/>
    <w:rsid w:val="007834BD"/>
    <w:rsid w:val="00785C7A"/>
    <w:rsid w:val="00787C62"/>
    <w:rsid w:val="00787E7D"/>
    <w:rsid w:val="00790456"/>
    <w:rsid w:val="00792776"/>
    <w:rsid w:val="00792ECF"/>
    <w:rsid w:val="007A2F1A"/>
    <w:rsid w:val="007A36B3"/>
    <w:rsid w:val="007A4FC8"/>
    <w:rsid w:val="007A6C8B"/>
    <w:rsid w:val="007B027B"/>
    <w:rsid w:val="007B03B8"/>
    <w:rsid w:val="007B0D07"/>
    <w:rsid w:val="007B2079"/>
    <w:rsid w:val="007B48D6"/>
    <w:rsid w:val="007C10DA"/>
    <w:rsid w:val="007C2F14"/>
    <w:rsid w:val="007C5488"/>
    <w:rsid w:val="007D7BAD"/>
    <w:rsid w:val="007E112A"/>
    <w:rsid w:val="007E1DA1"/>
    <w:rsid w:val="007E5479"/>
    <w:rsid w:val="007E63E5"/>
    <w:rsid w:val="007E6A41"/>
    <w:rsid w:val="007F0942"/>
    <w:rsid w:val="007F4F14"/>
    <w:rsid w:val="007F70C4"/>
    <w:rsid w:val="00804105"/>
    <w:rsid w:val="008141D8"/>
    <w:rsid w:val="008162E5"/>
    <w:rsid w:val="008211CA"/>
    <w:rsid w:val="00821E8F"/>
    <w:rsid w:val="00824A63"/>
    <w:rsid w:val="00826A8F"/>
    <w:rsid w:val="00830363"/>
    <w:rsid w:val="00832C97"/>
    <w:rsid w:val="00834091"/>
    <w:rsid w:val="00835359"/>
    <w:rsid w:val="00836074"/>
    <w:rsid w:val="008428F9"/>
    <w:rsid w:val="00844161"/>
    <w:rsid w:val="00846E31"/>
    <w:rsid w:val="00852145"/>
    <w:rsid w:val="008543FF"/>
    <w:rsid w:val="00855956"/>
    <w:rsid w:val="008601DA"/>
    <w:rsid w:val="00863372"/>
    <w:rsid w:val="00863AF8"/>
    <w:rsid w:val="008642B7"/>
    <w:rsid w:val="0086576A"/>
    <w:rsid w:val="00865D69"/>
    <w:rsid w:val="0086609B"/>
    <w:rsid w:val="00873E9D"/>
    <w:rsid w:val="008752D9"/>
    <w:rsid w:val="00876D5D"/>
    <w:rsid w:val="00884C0F"/>
    <w:rsid w:val="00885067"/>
    <w:rsid w:val="00890323"/>
    <w:rsid w:val="00890C99"/>
    <w:rsid w:val="00890D52"/>
    <w:rsid w:val="00890DA0"/>
    <w:rsid w:val="008934F1"/>
    <w:rsid w:val="008A3491"/>
    <w:rsid w:val="008A542E"/>
    <w:rsid w:val="008A5703"/>
    <w:rsid w:val="008A59A5"/>
    <w:rsid w:val="008A59F4"/>
    <w:rsid w:val="008A5FFD"/>
    <w:rsid w:val="008B0CB9"/>
    <w:rsid w:val="008B168B"/>
    <w:rsid w:val="008B6EBA"/>
    <w:rsid w:val="008C4C1C"/>
    <w:rsid w:val="008C4CFB"/>
    <w:rsid w:val="008C597C"/>
    <w:rsid w:val="008C7390"/>
    <w:rsid w:val="008D71FF"/>
    <w:rsid w:val="008E0288"/>
    <w:rsid w:val="008F355A"/>
    <w:rsid w:val="008F38FF"/>
    <w:rsid w:val="008F3CCE"/>
    <w:rsid w:val="00904342"/>
    <w:rsid w:val="009049DE"/>
    <w:rsid w:val="0090632F"/>
    <w:rsid w:val="00907346"/>
    <w:rsid w:val="00907AE6"/>
    <w:rsid w:val="009101BF"/>
    <w:rsid w:val="00914087"/>
    <w:rsid w:val="0091482B"/>
    <w:rsid w:val="009238C1"/>
    <w:rsid w:val="00927053"/>
    <w:rsid w:val="00935F8F"/>
    <w:rsid w:val="00936692"/>
    <w:rsid w:val="00936F6F"/>
    <w:rsid w:val="009406D6"/>
    <w:rsid w:val="00943A4F"/>
    <w:rsid w:val="00944E0F"/>
    <w:rsid w:val="00947034"/>
    <w:rsid w:val="00947B9F"/>
    <w:rsid w:val="00951991"/>
    <w:rsid w:val="009529AF"/>
    <w:rsid w:val="009537F7"/>
    <w:rsid w:val="00954C4D"/>
    <w:rsid w:val="00955FEE"/>
    <w:rsid w:val="0096103D"/>
    <w:rsid w:val="00961C4B"/>
    <w:rsid w:val="00962D9F"/>
    <w:rsid w:val="009639D2"/>
    <w:rsid w:val="00966249"/>
    <w:rsid w:val="00966D1C"/>
    <w:rsid w:val="009752D5"/>
    <w:rsid w:val="00976DE0"/>
    <w:rsid w:val="00984DEA"/>
    <w:rsid w:val="00992D92"/>
    <w:rsid w:val="009940CA"/>
    <w:rsid w:val="00995737"/>
    <w:rsid w:val="00995ACA"/>
    <w:rsid w:val="009A1833"/>
    <w:rsid w:val="009A21AE"/>
    <w:rsid w:val="009A69B0"/>
    <w:rsid w:val="009A6BFD"/>
    <w:rsid w:val="009B0461"/>
    <w:rsid w:val="009B234C"/>
    <w:rsid w:val="009B26FE"/>
    <w:rsid w:val="009B36E7"/>
    <w:rsid w:val="009B412A"/>
    <w:rsid w:val="009B480D"/>
    <w:rsid w:val="009B52DF"/>
    <w:rsid w:val="009B5D7D"/>
    <w:rsid w:val="009B7D72"/>
    <w:rsid w:val="009D211B"/>
    <w:rsid w:val="009D26E5"/>
    <w:rsid w:val="009D715B"/>
    <w:rsid w:val="009D749B"/>
    <w:rsid w:val="009D7F4A"/>
    <w:rsid w:val="009E10B5"/>
    <w:rsid w:val="009E23D3"/>
    <w:rsid w:val="009E432A"/>
    <w:rsid w:val="009E6A3B"/>
    <w:rsid w:val="009F0ED6"/>
    <w:rsid w:val="00A03191"/>
    <w:rsid w:val="00A03656"/>
    <w:rsid w:val="00A039D9"/>
    <w:rsid w:val="00A0639B"/>
    <w:rsid w:val="00A07871"/>
    <w:rsid w:val="00A12CE2"/>
    <w:rsid w:val="00A13626"/>
    <w:rsid w:val="00A1608C"/>
    <w:rsid w:val="00A1743E"/>
    <w:rsid w:val="00A26535"/>
    <w:rsid w:val="00A278D0"/>
    <w:rsid w:val="00A32D4E"/>
    <w:rsid w:val="00A3345A"/>
    <w:rsid w:val="00A35217"/>
    <w:rsid w:val="00A359C2"/>
    <w:rsid w:val="00A35E52"/>
    <w:rsid w:val="00A41E73"/>
    <w:rsid w:val="00A42D91"/>
    <w:rsid w:val="00A44B04"/>
    <w:rsid w:val="00A45330"/>
    <w:rsid w:val="00A45E70"/>
    <w:rsid w:val="00A47723"/>
    <w:rsid w:val="00A47BE4"/>
    <w:rsid w:val="00A543E8"/>
    <w:rsid w:val="00A61C06"/>
    <w:rsid w:val="00A668AC"/>
    <w:rsid w:val="00A67665"/>
    <w:rsid w:val="00A75C27"/>
    <w:rsid w:val="00A800CC"/>
    <w:rsid w:val="00A8436E"/>
    <w:rsid w:val="00A8469C"/>
    <w:rsid w:val="00A859E3"/>
    <w:rsid w:val="00A8799F"/>
    <w:rsid w:val="00A87D95"/>
    <w:rsid w:val="00A95C4C"/>
    <w:rsid w:val="00AA1729"/>
    <w:rsid w:val="00AA41AD"/>
    <w:rsid w:val="00AA4EBE"/>
    <w:rsid w:val="00AA6F69"/>
    <w:rsid w:val="00AA763B"/>
    <w:rsid w:val="00AB162A"/>
    <w:rsid w:val="00AB1D12"/>
    <w:rsid w:val="00AC0725"/>
    <w:rsid w:val="00AC2F0C"/>
    <w:rsid w:val="00AC5FC1"/>
    <w:rsid w:val="00AD0B19"/>
    <w:rsid w:val="00AD505A"/>
    <w:rsid w:val="00AD505E"/>
    <w:rsid w:val="00AD5147"/>
    <w:rsid w:val="00AE24FA"/>
    <w:rsid w:val="00AE725A"/>
    <w:rsid w:val="00AE78B1"/>
    <w:rsid w:val="00AF1F21"/>
    <w:rsid w:val="00AF2EA6"/>
    <w:rsid w:val="00AF7FD6"/>
    <w:rsid w:val="00B00BAF"/>
    <w:rsid w:val="00B024D2"/>
    <w:rsid w:val="00B04AB1"/>
    <w:rsid w:val="00B06045"/>
    <w:rsid w:val="00B0622A"/>
    <w:rsid w:val="00B10329"/>
    <w:rsid w:val="00B10B1C"/>
    <w:rsid w:val="00B15AAD"/>
    <w:rsid w:val="00B16DFC"/>
    <w:rsid w:val="00B16EAF"/>
    <w:rsid w:val="00B208F9"/>
    <w:rsid w:val="00B218CF"/>
    <w:rsid w:val="00B22E60"/>
    <w:rsid w:val="00B25412"/>
    <w:rsid w:val="00B25751"/>
    <w:rsid w:val="00B26A9E"/>
    <w:rsid w:val="00B3149F"/>
    <w:rsid w:val="00B31A17"/>
    <w:rsid w:val="00B34B33"/>
    <w:rsid w:val="00B45A65"/>
    <w:rsid w:val="00B46218"/>
    <w:rsid w:val="00B47D4E"/>
    <w:rsid w:val="00B51AED"/>
    <w:rsid w:val="00B52BFA"/>
    <w:rsid w:val="00B545F0"/>
    <w:rsid w:val="00B54871"/>
    <w:rsid w:val="00B60428"/>
    <w:rsid w:val="00B6119F"/>
    <w:rsid w:val="00B64785"/>
    <w:rsid w:val="00B6650A"/>
    <w:rsid w:val="00B70016"/>
    <w:rsid w:val="00B70DCC"/>
    <w:rsid w:val="00B71204"/>
    <w:rsid w:val="00B721B7"/>
    <w:rsid w:val="00B73318"/>
    <w:rsid w:val="00B74084"/>
    <w:rsid w:val="00B801A5"/>
    <w:rsid w:val="00B84C5E"/>
    <w:rsid w:val="00B905EA"/>
    <w:rsid w:val="00B925B3"/>
    <w:rsid w:val="00B928F3"/>
    <w:rsid w:val="00B951DE"/>
    <w:rsid w:val="00B95F9B"/>
    <w:rsid w:val="00B96E3E"/>
    <w:rsid w:val="00B96E65"/>
    <w:rsid w:val="00BA030A"/>
    <w:rsid w:val="00BB2031"/>
    <w:rsid w:val="00BB2EBC"/>
    <w:rsid w:val="00BB6DFA"/>
    <w:rsid w:val="00BB7D74"/>
    <w:rsid w:val="00BB7FA7"/>
    <w:rsid w:val="00BC1A3D"/>
    <w:rsid w:val="00BC2A2F"/>
    <w:rsid w:val="00BD0436"/>
    <w:rsid w:val="00BD0691"/>
    <w:rsid w:val="00BD6C40"/>
    <w:rsid w:val="00BE061D"/>
    <w:rsid w:val="00BE6A75"/>
    <w:rsid w:val="00BF0A41"/>
    <w:rsid w:val="00BF256E"/>
    <w:rsid w:val="00BF2951"/>
    <w:rsid w:val="00BF4BB3"/>
    <w:rsid w:val="00C01D60"/>
    <w:rsid w:val="00C05F6A"/>
    <w:rsid w:val="00C06886"/>
    <w:rsid w:val="00C07A2C"/>
    <w:rsid w:val="00C11921"/>
    <w:rsid w:val="00C11AC2"/>
    <w:rsid w:val="00C14A1F"/>
    <w:rsid w:val="00C40411"/>
    <w:rsid w:val="00C43F7D"/>
    <w:rsid w:val="00C44B22"/>
    <w:rsid w:val="00C46FE2"/>
    <w:rsid w:val="00C47487"/>
    <w:rsid w:val="00C47925"/>
    <w:rsid w:val="00C52A58"/>
    <w:rsid w:val="00C536D8"/>
    <w:rsid w:val="00C543EA"/>
    <w:rsid w:val="00C54C0F"/>
    <w:rsid w:val="00C624C3"/>
    <w:rsid w:val="00C62965"/>
    <w:rsid w:val="00C62AAF"/>
    <w:rsid w:val="00C642A7"/>
    <w:rsid w:val="00C70A49"/>
    <w:rsid w:val="00C7147D"/>
    <w:rsid w:val="00C723E6"/>
    <w:rsid w:val="00C80B99"/>
    <w:rsid w:val="00C869DA"/>
    <w:rsid w:val="00C90203"/>
    <w:rsid w:val="00C90E93"/>
    <w:rsid w:val="00C9255D"/>
    <w:rsid w:val="00C94E00"/>
    <w:rsid w:val="00C95669"/>
    <w:rsid w:val="00C966F6"/>
    <w:rsid w:val="00CA052C"/>
    <w:rsid w:val="00CA1DE4"/>
    <w:rsid w:val="00CB5243"/>
    <w:rsid w:val="00CB5337"/>
    <w:rsid w:val="00CC0CC8"/>
    <w:rsid w:val="00CC0DFD"/>
    <w:rsid w:val="00CC7340"/>
    <w:rsid w:val="00CC7D37"/>
    <w:rsid w:val="00CD3E3E"/>
    <w:rsid w:val="00CD4456"/>
    <w:rsid w:val="00CD5A6A"/>
    <w:rsid w:val="00CF0B88"/>
    <w:rsid w:val="00CF2317"/>
    <w:rsid w:val="00CF36F5"/>
    <w:rsid w:val="00CF69DF"/>
    <w:rsid w:val="00CF78F3"/>
    <w:rsid w:val="00D0182D"/>
    <w:rsid w:val="00D01D4B"/>
    <w:rsid w:val="00D03826"/>
    <w:rsid w:val="00D073E8"/>
    <w:rsid w:val="00D10DC2"/>
    <w:rsid w:val="00D14216"/>
    <w:rsid w:val="00D177AE"/>
    <w:rsid w:val="00D178E9"/>
    <w:rsid w:val="00D17C1D"/>
    <w:rsid w:val="00D17C99"/>
    <w:rsid w:val="00D22683"/>
    <w:rsid w:val="00D2293B"/>
    <w:rsid w:val="00D25895"/>
    <w:rsid w:val="00D37A71"/>
    <w:rsid w:val="00D400AA"/>
    <w:rsid w:val="00D67B62"/>
    <w:rsid w:val="00D70446"/>
    <w:rsid w:val="00D70EBE"/>
    <w:rsid w:val="00D723FA"/>
    <w:rsid w:val="00D72E50"/>
    <w:rsid w:val="00D73176"/>
    <w:rsid w:val="00D73F68"/>
    <w:rsid w:val="00D75123"/>
    <w:rsid w:val="00D805AD"/>
    <w:rsid w:val="00D81E20"/>
    <w:rsid w:val="00D84957"/>
    <w:rsid w:val="00D85BDB"/>
    <w:rsid w:val="00D86FF9"/>
    <w:rsid w:val="00D87BE0"/>
    <w:rsid w:val="00D91DEA"/>
    <w:rsid w:val="00D92B6E"/>
    <w:rsid w:val="00D9512A"/>
    <w:rsid w:val="00D97945"/>
    <w:rsid w:val="00DA0A7A"/>
    <w:rsid w:val="00DA20AA"/>
    <w:rsid w:val="00DA3472"/>
    <w:rsid w:val="00DB7268"/>
    <w:rsid w:val="00DD03CC"/>
    <w:rsid w:val="00DD1CEE"/>
    <w:rsid w:val="00DD4E1B"/>
    <w:rsid w:val="00DD780C"/>
    <w:rsid w:val="00DE0D89"/>
    <w:rsid w:val="00DE61A3"/>
    <w:rsid w:val="00DF0239"/>
    <w:rsid w:val="00DF0E3D"/>
    <w:rsid w:val="00DF1281"/>
    <w:rsid w:val="00DF3C9F"/>
    <w:rsid w:val="00DF5319"/>
    <w:rsid w:val="00DF5F21"/>
    <w:rsid w:val="00E06318"/>
    <w:rsid w:val="00E102D6"/>
    <w:rsid w:val="00E15686"/>
    <w:rsid w:val="00E27275"/>
    <w:rsid w:val="00E320BB"/>
    <w:rsid w:val="00E36AFE"/>
    <w:rsid w:val="00E36CDA"/>
    <w:rsid w:val="00E402FB"/>
    <w:rsid w:val="00E428E3"/>
    <w:rsid w:val="00E434DE"/>
    <w:rsid w:val="00E43BE9"/>
    <w:rsid w:val="00E454E2"/>
    <w:rsid w:val="00E466A7"/>
    <w:rsid w:val="00E468A1"/>
    <w:rsid w:val="00E50309"/>
    <w:rsid w:val="00E6181D"/>
    <w:rsid w:val="00E6323B"/>
    <w:rsid w:val="00E65F4D"/>
    <w:rsid w:val="00E70DC9"/>
    <w:rsid w:val="00E73B0A"/>
    <w:rsid w:val="00E7518F"/>
    <w:rsid w:val="00E77211"/>
    <w:rsid w:val="00E83502"/>
    <w:rsid w:val="00E86C3D"/>
    <w:rsid w:val="00E959FA"/>
    <w:rsid w:val="00E95C06"/>
    <w:rsid w:val="00E960B2"/>
    <w:rsid w:val="00EA246B"/>
    <w:rsid w:val="00EA32BF"/>
    <w:rsid w:val="00EB1906"/>
    <w:rsid w:val="00EB1A85"/>
    <w:rsid w:val="00EB5D64"/>
    <w:rsid w:val="00EB647A"/>
    <w:rsid w:val="00EC0724"/>
    <w:rsid w:val="00EC1343"/>
    <w:rsid w:val="00EC2962"/>
    <w:rsid w:val="00EC69A6"/>
    <w:rsid w:val="00ED0A39"/>
    <w:rsid w:val="00ED188A"/>
    <w:rsid w:val="00ED3D16"/>
    <w:rsid w:val="00ED3E56"/>
    <w:rsid w:val="00EE08E0"/>
    <w:rsid w:val="00EE1CB5"/>
    <w:rsid w:val="00EE1F44"/>
    <w:rsid w:val="00EE3C41"/>
    <w:rsid w:val="00EE5C20"/>
    <w:rsid w:val="00EE6200"/>
    <w:rsid w:val="00EE6272"/>
    <w:rsid w:val="00EF1901"/>
    <w:rsid w:val="00EF2AEE"/>
    <w:rsid w:val="00EF46F6"/>
    <w:rsid w:val="00EF48CE"/>
    <w:rsid w:val="00EF4DB5"/>
    <w:rsid w:val="00F00F69"/>
    <w:rsid w:val="00F024BF"/>
    <w:rsid w:val="00F04FFC"/>
    <w:rsid w:val="00F062ED"/>
    <w:rsid w:val="00F108F5"/>
    <w:rsid w:val="00F11B95"/>
    <w:rsid w:val="00F132C2"/>
    <w:rsid w:val="00F1770A"/>
    <w:rsid w:val="00F20442"/>
    <w:rsid w:val="00F30982"/>
    <w:rsid w:val="00F362F1"/>
    <w:rsid w:val="00F40830"/>
    <w:rsid w:val="00F4674A"/>
    <w:rsid w:val="00F47A7C"/>
    <w:rsid w:val="00F50180"/>
    <w:rsid w:val="00F5033D"/>
    <w:rsid w:val="00F51768"/>
    <w:rsid w:val="00F52501"/>
    <w:rsid w:val="00F5406E"/>
    <w:rsid w:val="00F6214F"/>
    <w:rsid w:val="00F65976"/>
    <w:rsid w:val="00F65F71"/>
    <w:rsid w:val="00F6652D"/>
    <w:rsid w:val="00F727F1"/>
    <w:rsid w:val="00F755BC"/>
    <w:rsid w:val="00F777F9"/>
    <w:rsid w:val="00F82F38"/>
    <w:rsid w:val="00F874FC"/>
    <w:rsid w:val="00F877D6"/>
    <w:rsid w:val="00F87994"/>
    <w:rsid w:val="00F91126"/>
    <w:rsid w:val="00F92739"/>
    <w:rsid w:val="00F92C46"/>
    <w:rsid w:val="00F92CC2"/>
    <w:rsid w:val="00F94FD4"/>
    <w:rsid w:val="00F96163"/>
    <w:rsid w:val="00F962B7"/>
    <w:rsid w:val="00FA0E22"/>
    <w:rsid w:val="00FA2E82"/>
    <w:rsid w:val="00FA3BDD"/>
    <w:rsid w:val="00FA3F7D"/>
    <w:rsid w:val="00FA518F"/>
    <w:rsid w:val="00FA670B"/>
    <w:rsid w:val="00FB2180"/>
    <w:rsid w:val="00FB6AC0"/>
    <w:rsid w:val="00FB7B10"/>
    <w:rsid w:val="00FC0026"/>
    <w:rsid w:val="00FC7BB0"/>
    <w:rsid w:val="00FD0C52"/>
    <w:rsid w:val="00FE0F7F"/>
    <w:rsid w:val="00FE2D09"/>
    <w:rsid w:val="00FE56CA"/>
    <w:rsid w:val="00FE5EB9"/>
    <w:rsid w:val="00FE7AC1"/>
    <w:rsid w:val="00FF0840"/>
    <w:rsid w:val="00FF12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54D0D"/>
    <w:rPr>
      <w:sz w:val="22"/>
      <w:szCs w:val="24"/>
    </w:rPr>
  </w:style>
  <w:style w:type="paragraph" w:styleId="Heading1">
    <w:name w:val="heading 1"/>
    <w:basedOn w:val="Normal"/>
    <w:next w:val="BodyText"/>
    <w:qFormat/>
    <w:rsid w:val="006E7543"/>
    <w:pPr>
      <w:keepNext/>
      <w:numPr>
        <w:numId w:val="62"/>
      </w:numPr>
      <w:spacing w:before="240" w:after="120"/>
      <w:jc w:val="center"/>
      <w:outlineLvl w:val="0"/>
    </w:pPr>
    <w:rPr>
      <w:rFonts w:ascii="Arial" w:hAnsi="Arial" w:cs="Arial"/>
      <w:b/>
      <w:bCs/>
      <w:caps/>
      <w:kern w:val="32"/>
      <w:sz w:val="28"/>
      <w:szCs w:val="32"/>
    </w:rPr>
  </w:style>
  <w:style w:type="paragraph" w:styleId="Heading2">
    <w:name w:val="heading 2"/>
    <w:basedOn w:val="Normal"/>
    <w:next w:val="BodyText"/>
    <w:qFormat/>
    <w:rsid w:val="00B024D2"/>
    <w:pPr>
      <w:keepNext/>
      <w:numPr>
        <w:ilvl w:val="1"/>
        <w:numId w:val="62"/>
      </w:numPr>
      <w:spacing w:before="240" w:after="120"/>
      <w:outlineLvl w:val="1"/>
    </w:pPr>
    <w:rPr>
      <w:rFonts w:ascii="Arial" w:hAnsi="Arial" w:cs="Arial"/>
      <w:b/>
      <w:bCs/>
      <w:iCs/>
      <w:caps/>
      <w:sz w:val="24"/>
      <w:szCs w:val="28"/>
    </w:rPr>
  </w:style>
  <w:style w:type="paragraph" w:styleId="Heading3">
    <w:name w:val="heading 3"/>
    <w:basedOn w:val="Normal"/>
    <w:next w:val="Normal"/>
    <w:qFormat/>
    <w:rsid w:val="005C520A"/>
    <w:pPr>
      <w:keepNext/>
      <w:numPr>
        <w:ilvl w:val="2"/>
        <w:numId w:val="62"/>
      </w:numPr>
      <w:tabs>
        <w:tab w:val="left" w:pos="1152"/>
      </w:tabs>
      <w:spacing w:before="240" w:after="60"/>
      <w:outlineLvl w:val="2"/>
    </w:pPr>
    <w:rPr>
      <w:rFonts w:ascii="Arial" w:hAnsi="Arial" w:cs="Arial"/>
      <w:b/>
      <w:bCs/>
      <w:caps/>
      <w:sz w:val="24"/>
      <w:szCs w:val="26"/>
    </w:rPr>
  </w:style>
  <w:style w:type="paragraph" w:styleId="Heading4">
    <w:name w:val="heading 4"/>
    <w:basedOn w:val="Normal"/>
    <w:next w:val="Normal"/>
    <w:qFormat/>
    <w:rsid w:val="00DA20AA"/>
    <w:pPr>
      <w:keepNext/>
      <w:numPr>
        <w:ilvl w:val="3"/>
        <w:numId w:val="62"/>
      </w:numPr>
      <w:tabs>
        <w:tab w:val="left" w:pos="1296"/>
        <w:tab w:val="left" w:pos="1584"/>
      </w:tabs>
      <w:spacing w:before="240" w:after="60"/>
      <w:outlineLvl w:val="3"/>
    </w:pPr>
    <w:rPr>
      <w:rFonts w:ascii="Arial" w:hAnsi="Arial"/>
      <w:b/>
      <w:bCs/>
      <w:caps/>
      <w:sz w:val="24"/>
      <w:szCs w:val="28"/>
    </w:rPr>
  </w:style>
  <w:style w:type="paragraph" w:styleId="Heading5">
    <w:name w:val="heading 5"/>
    <w:basedOn w:val="Normal"/>
    <w:next w:val="Normal"/>
    <w:qFormat/>
    <w:rsid w:val="004F14F0"/>
    <w:pPr>
      <w:tabs>
        <w:tab w:val="left" w:pos="2088"/>
      </w:tabs>
      <w:spacing w:before="240" w:after="60"/>
      <w:outlineLvl w:val="4"/>
    </w:pPr>
    <w:rPr>
      <w:rFonts w:ascii="Arial" w:hAnsi="Arial"/>
      <w:bCs/>
      <w:iCs/>
      <w:sz w:val="20"/>
      <w:szCs w:val="26"/>
    </w:rPr>
  </w:style>
  <w:style w:type="paragraph" w:styleId="Heading6">
    <w:name w:val="heading 6"/>
    <w:basedOn w:val="Normal"/>
    <w:next w:val="Normal"/>
    <w:qFormat/>
    <w:rsid w:val="004F14F0"/>
    <w:pPr>
      <w:spacing w:before="240" w:after="60"/>
      <w:outlineLvl w:val="5"/>
    </w:pPr>
    <w:rPr>
      <w:b/>
      <w:bCs/>
      <w:szCs w:val="22"/>
    </w:rPr>
  </w:style>
  <w:style w:type="paragraph" w:styleId="Heading7">
    <w:name w:val="heading 7"/>
    <w:basedOn w:val="Normal"/>
    <w:next w:val="Normal"/>
    <w:qFormat/>
    <w:rsid w:val="004F14F0"/>
    <w:pPr>
      <w:spacing w:before="240" w:after="60"/>
      <w:outlineLvl w:val="6"/>
    </w:pPr>
    <w:rPr>
      <w:sz w:val="24"/>
    </w:rPr>
  </w:style>
  <w:style w:type="paragraph" w:styleId="Heading8">
    <w:name w:val="heading 8"/>
    <w:basedOn w:val="Normal"/>
    <w:next w:val="Normal"/>
    <w:qFormat/>
    <w:rsid w:val="004F14F0"/>
    <w:pPr>
      <w:spacing w:before="240" w:after="60"/>
      <w:outlineLvl w:val="7"/>
    </w:pPr>
    <w:rPr>
      <w:i/>
      <w:iCs/>
      <w:sz w:val="24"/>
    </w:rPr>
  </w:style>
  <w:style w:type="paragraph" w:styleId="Heading9">
    <w:name w:val="heading 9"/>
    <w:basedOn w:val="Normal"/>
    <w:next w:val="Normal"/>
    <w:autoRedefine/>
    <w:qFormat/>
    <w:rsid w:val="009B26FE"/>
    <w:pPr>
      <w:spacing w:before="240" w:after="60"/>
      <w:jc w:val="center"/>
      <w:outlineLvl w:val="8"/>
    </w:pPr>
    <w:rPr>
      <w:rFonts w:ascii="Arial" w:hAnsi="Arial" w:cs="Arial"/>
      <w:b/>
      <w:caps/>
      <w:color w:val="FFFFFF"/>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link w:val="BodyTextChar"/>
    <w:rsid w:val="00890323"/>
    <w:pPr>
      <w:spacing w:before="100" w:beforeAutospacing="1" w:after="120"/>
      <w:ind w:left="720"/>
      <w:jc w:val="both"/>
    </w:pPr>
    <w:rPr>
      <w:rFonts w:ascii="Arial" w:hAnsi="Arial"/>
      <w:sz w:val="24"/>
    </w:rPr>
  </w:style>
  <w:style w:type="paragraph" w:customStyle="1" w:styleId="ReportTitle">
    <w:name w:val="ReportTitle"/>
    <w:basedOn w:val="Normal"/>
    <w:rsid w:val="004C2354"/>
    <w:pPr>
      <w:spacing w:before="3000" w:after="1200"/>
    </w:pPr>
    <w:rPr>
      <w:b/>
      <w:sz w:val="72"/>
    </w:rPr>
  </w:style>
  <w:style w:type="paragraph" w:styleId="Header">
    <w:name w:val="header"/>
    <w:basedOn w:val="Normal"/>
    <w:link w:val="HeaderChar"/>
    <w:uiPriority w:val="99"/>
    <w:rsid w:val="004C2354"/>
    <w:pPr>
      <w:tabs>
        <w:tab w:val="center" w:pos="4320"/>
        <w:tab w:val="right" w:pos="8640"/>
      </w:tabs>
    </w:pPr>
    <w:rPr>
      <w:rFonts w:ascii="Arial" w:hAnsi="Arial"/>
      <w:sz w:val="20"/>
    </w:rPr>
  </w:style>
  <w:style w:type="paragraph" w:styleId="Footer">
    <w:name w:val="footer"/>
    <w:basedOn w:val="Normal"/>
    <w:link w:val="FooterChar"/>
    <w:uiPriority w:val="99"/>
    <w:rsid w:val="004C2354"/>
    <w:pPr>
      <w:tabs>
        <w:tab w:val="center" w:pos="4320"/>
        <w:tab w:val="right" w:pos="8640"/>
      </w:tabs>
    </w:pPr>
  </w:style>
  <w:style w:type="paragraph" w:customStyle="1" w:styleId="CoverText-Title">
    <w:name w:val="CoverText-Title"/>
    <w:basedOn w:val="Normal"/>
    <w:rsid w:val="004C2354"/>
    <w:pPr>
      <w:spacing w:before="200"/>
    </w:pPr>
    <w:rPr>
      <w:rFonts w:ascii="Arial" w:hAnsi="Arial"/>
      <w:b/>
      <w:sz w:val="20"/>
    </w:rPr>
  </w:style>
  <w:style w:type="paragraph" w:customStyle="1" w:styleId="CoverText">
    <w:name w:val="CoverText"/>
    <w:basedOn w:val="Normal"/>
    <w:rsid w:val="004C2354"/>
    <w:rPr>
      <w:rFonts w:ascii="Arial" w:hAnsi="Arial"/>
      <w:sz w:val="20"/>
    </w:rPr>
  </w:style>
  <w:style w:type="paragraph" w:styleId="TOCHeading">
    <w:name w:val="TOC Heading"/>
    <w:basedOn w:val="Normal"/>
    <w:uiPriority w:val="39"/>
    <w:qFormat/>
    <w:rsid w:val="004C2354"/>
    <w:pPr>
      <w:spacing w:before="200" w:after="200"/>
      <w:jc w:val="center"/>
    </w:pPr>
    <w:rPr>
      <w:rFonts w:ascii="Arial" w:hAnsi="Arial"/>
      <w:b/>
      <w:sz w:val="20"/>
    </w:rPr>
  </w:style>
  <w:style w:type="character" w:styleId="PageNumber">
    <w:name w:val="page number"/>
    <w:basedOn w:val="DefaultParagraphFont"/>
    <w:rsid w:val="004C2354"/>
    <w:rPr>
      <w:rFonts w:ascii="Arial" w:hAnsi="Arial"/>
      <w:b/>
      <w:kern w:val="24"/>
      <w:sz w:val="22"/>
    </w:rPr>
  </w:style>
  <w:style w:type="paragraph" w:customStyle="1" w:styleId="FigureTitle">
    <w:name w:val="Figure Title"/>
    <w:basedOn w:val="Normal"/>
    <w:rsid w:val="00342D56"/>
    <w:pPr>
      <w:spacing w:before="100" w:after="20"/>
      <w:ind w:left="720"/>
      <w:jc w:val="center"/>
    </w:pPr>
    <w:rPr>
      <w:rFonts w:ascii="Arial" w:hAnsi="Arial"/>
    </w:rPr>
  </w:style>
  <w:style w:type="paragraph" w:customStyle="1" w:styleId="TableTitle">
    <w:name w:val="Table Title"/>
    <w:basedOn w:val="Normal"/>
    <w:rsid w:val="00F062ED"/>
    <w:pPr>
      <w:spacing w:before="100" w:after="20"/>
      <w:jc w:val="center"/>
    </w:pPr>
    <w:rPr>
      <w:rFonts w:ascii="Arial" w:hAnsi="Arial"/>
    </w:rPr>
  </w:style>
  <w:style w:type="paragraph" w:customStyle="1" w:styleId="Bullet1stlisting">
    <w:name w:val="Bullet 1st listing"/>
    <w:basedOn w:val="Normal"/>
    <w:rsid w:val="00F024BF"/>
    <w:pPr>
      <w:numPr>
        <w:numId w:val="1"/>
      </w:numPr>
      <w:spacing w:before="60" w:after="60"/>
      <w:jc w:val="both"/>
    </w:pPr>
    <w:rPr>
      <w:rFonts w:ascii="Arial" w:hAnsi="Arial"/>
      <w:sz w:val="24"/>
    </w:rPr>
  </w:style>
  <w:style w:type="paragraph" w:customStyle="1" w:styleId="Bullet2ndlisting">
    <w:name w:val="Bullet 2nd listing"/>
    <w:basedOn w:val="Normal"/>
    <w:rsid w:val="004C2354"/>
    <w:pPr>
      <w:numPr>
        <w:numId w:val="2"/>
      </w:numPr>
      <w:tabs>
        <w:tab w:val="clear" w:pos="2520"/>
        <w:tab w:val="left" w:pos="1440"/>
      </w:tabs>
      <w:spacing w:before="60" w:after="60"/>
      <w:ind w:left="1440"/>
      <w:jc w:val="both"/>
    </w:pPr>
    <w:rPr>
      <w:rFonts w:ascii="Arial" w:hAnsi="Arial"/>
    </w:rPr>
  </w:style>
  <w:style w:type="paragraph" w:customStyle="1" w:styleId="TableHeading">
    <w:name w:val="Table Heading"/>
    <w:basedOn w:val="Normal"/>
    <w:rsid w:val="004C2354"/>
    <w:pPr>
      <w:spacing w:before="20" w:after="20"/>
      <w:jc w:val="center"/>
    </w:pPr>
    <w:rPr>
      <w:rFonts w:ascii="Arial" w:hAnsi="Arial"/>
    </w:rPr>
  </w:style>
  <w:style w:type="paragraph" w:customStyle="1" w:styleId="TableText">
    <w:name w:val="Table Text"/>
    <w:basedOn w:val="Normal"/>
    <w:rsid w:val="004C2354"/>
    <w:pPr>
      <w:spacing w:before="20" w:after="20"/>
    </w:pPr>
    <w:rPr>
      <w:rFonts w:ascii="Arial" w:hAnsi="Arial"/>
    </w:rPr>
  </w:style>
  <w:style w:type="paragraph" w:customStyle="1" w:styleId="TableBullets">
    <w:name w:val="Table Bullets"/>
    <w:basedOn w:val="TableText"/>
    <w:rsid w:val="004C2354"/>
    <w:pPr>
      <w:tabs>
        <w:tab w:val="left" w:pos="216"/>
      </w:tabs>
      <w:ind w:left="216" w:hanging="216"/>
    </w:pPr>
  </w:style>
  <w:style w:type="paragraph" w:customStyle="1" w:styleId="AppendixTitle">
    <w:name w:val="Appendix Title"/>
    <w:basedOn w:val="BodyText"/>
    <w:rsid w:val="004C2354"/>
    <w:pPr>
      <w:spacing w:before="5000" w:after="0"/>
      <w:jc w:val="center"/>
    </w:pPr>
    <w:rPr>
      <w:b/>
      <w:sz w:val="52"/>
    </w:rPr>
  </w:style>
  <w:style w:type="paragraph" w:customStyle="1" w:styleId="BackCoverText-Title">
    <w:name w:val="BackCoverText-Title"/>
    <w:basedOn w:val="CoverText-Title"/>
    <w:rsid w:val="004C2354"/>
    <w:rPr>
      <w:color w:val="999999"/>
    </w:rPr>
  </w:style>
  <w:style w:type="paragraph" w:customStyle="1" w:styleId="BackCoverText">
    <w:name w:val="BackCoverText"/>
    <w:basedOn w:val="CoverText"/>
    <w:rsid w:val="004C2354"/>
    <w:rPr>
      <w:color w:val="999999"/>
    </w:rPr>
  </w:style>
  <w:style w:type="paragraph" w:styleId="TOC1">
    <w:name w:val="toc 1"/>
    <w:basedOn w:val="Normal"/>
    <w:next w:val="Normal"/>
    <w:autoRedefine/>
    <w:uiPriority w:val="39"/>
    <w:qFormat/>
    <w:rsid w:val="0017422C"/>
    <w:pPr>
      <w:tabs>
        <w:tab w:val="right" w:leader="dot" w:pos="9350"/>
      </w:tabs>
      <w:spacing w:before="120" w:after="120"/>
    </w:pPr>
    <w:rPr>
      <w:rFonts w:ascii="Arial" w:hAnsi="Arial" w:cs="Arial"/>
      <w:bCs/>
      <w:noProof/>
      <w:sz w:val="24"/>
    </w:rPr>
  </w:style>
  <w:style w:type="paragraph" w:styleId="TOC2">
    <w:name w:val="toc 2"/>
    <w:basedOn w:val="Normal"/>
    <w:next w:val="Normal"/>
    <w:autoRedefine/>
    <w:uiPriority w:val="39"/>
    <w:qFormat/>
    <w:rsid w:val="0049270D"/>
    <w:pPr>
      <w:ind w:left="220"/>
    </w:pPr>
    <w:rPr>
      <w:rFonts w:asciiTheme="minorHAnsi" w:hAnsiTheme="minorHAnsi"/>
      <w:smallCaps/>
      <w:sz w:val="20"/>
      <w:szCs w:val="20"/>
    </w:rPr>
  </w:style>
  <w:style w:type="paragraph" w:styleId="TOC3">
    <w:name w:val="toc 3"/>
    <w:basedOn w:val="Normal"/>
    <w:next w:val="Normal"/>
    <w:autoRedefine/>
    <w:uiPriority w:val="39"/>
    <w:qFormat/>
    <w:rsid w:val="0049270D"/>
    <w:pPr>
      <w:ind w:left="440"/>
    </w:pPr>
    <w:rPr>
      <w:rFonts w:asciiTheme="minorHAnsi" w:hAnsiTheme="minorHAnsi"/>
      <w:i/>
      <w:iCs/>
      <w:sz w:val="20"/>
      <w:szCs w:val="20"/>
    </w:rPr>
  </w:style>
  <w:style w:type="paragraph" w:styleId="TOC4">
    <w:name w:val="toc 4"/>
    <w:basedOn w:val="Normal"/>
    <w:next w:val="Normal"/>
    <w:autoRedefine/>
    <w:uiPriority w:val="39"/>
    <w:rsid w:val="0017422C"/>
    <w:pPr>
      <w:tabs>
        <w:tab w:val="left" w:pos="1540"/>
        <w:tab w:val="right" w:leader="dot" w:pos="9350"/>
      </w:tabs>
      <w:ind w:left="660"/>
    </w:pPr>
    <w:rPr>
      <w:rFonts w:ascii="Arial" w:hAnsi="Arial" w:cs="Arial"/>
      <w:noProof/>
      <w:sz w:val="24"/>
    </w:rPr>
  </w:style>
  <w:style w:type="paragraph" w:styleId="TOC5">
    <w:name w:val="toc 5"/>
    <w:basedOn w:val="Normal"/>
    <w:next w:val="Normal"/>
    <w:autoRedefine/>
    <w:uiPriority w:val="39"/>
    <w:rsid w:val="004C2354"/>
    <w:pPr>
      <w:ind w:left="880"/>
    </w:pPr>
    <w:rPr>
      <w:rFonts w:asciiTheme="minorHAnsi" w:hAnsiTheme="minorHAnsi"/>
      <w:sz w:val="18"/>
      <w:szCs w:val="18"/>
    </w:rPr>
  </w:style>
  <w:style w:type="character" w:styleId="Hyperlink">
    <w:name w:val="Hyperlink"/>
    <w:basedOn w:val="DefaultParagraphFont"/>
    <w:uiPriority w:val="99"/>
    <w:rsid w:val="004C2354"/>
    <w:rPr>
      <w:color w:val="0000FF"/>
      <w:u w:val="single"/>
    </w:rPr>
  </w:style>
  <w:style w:type="paragraph" w:styleId="TableofFigures">
    <w:name w:val="table of figures"/>
    <w:basedOn w:val="Normal"/>
    <w:next w:val="Normal"/>
    <w:uiPriority w:val="99"/>
    <w:rsid w:val="00A359C2"/>
    <w:pPr>
      <w:tabs>
        <w:tab w:val="left" w:pos="1440"/>
        <w:tab w:val="right" w:leader="dot" w:pos="9346"/>
      </w:tabs>
      <w:ind w:left="1440" w:hanging="1440"/>
    </w:pPr>
    <w:rPr>
      <w:rFonts w:ascii="Arial" w:hAnsi="Arial"/>
      <w:sz w:val="24"/>
    </w:rPr>
  </w:style>
  <w:style w:type="paragraph" w:customStyle="1" w:styleId="Subheading">
    <w:name w:val="Subheading"/>
    <w:basedOn w:val="BodyText"/>
    <w:rsid w:val="004C2354"/>
    <w:pPr>
      <w:jc w:val="left"/>
    </w:pPr>
    <w:rPr>
      <w:b/>
    </w:rPr>
  </w:style>
  <w:style w:type="paragraph" w:customStyle="1" w:styleId="BodyText-Centered">
    <w:name w:val="BodyText-Centered"/>
    <w:basedOn w:val="BodyText"/>
    <w:rsid w:val="004C2354"/>
    <w:pPr>
      <w:spacing w:before="0" w:after="0"/>
      <w:jc w:val="center"/>
    </w:pPr>
  </w:style>
  <w:style w:type="paragraph" w:styleId="TOC9">
    <w:name w:val="toc 9"/>
    <w:basedOn w:val="Normal"/>
    <w:next w:val="Normal"/>
    <w:uiPriority w:val="39"/>
    <w:rsid w:val="004C2354"/>
    <w:pPr>
      <w:ind w:left="1760"/>
    </w:pPr>
    <w:rPr>
      <w:rFonts w:asciiTheme="minorHAnsi" w:hAnsiTheme="minorHAnsi"/>
      <w:sz w:val="18"/>
      <w:szCs w:val="18"/>
    </w:rPr>
  </w:style>
  <w:style w:type="paragraph" w:styleId="Index1">
    <w:name w:val="index 1"/>
    <w:basedOn w:val="Normal"/>
    <w:next w:val="Normal"/>
    <w:semiHidden/>
    <w:rsid w:val="004C2354"/>
    <w:pPr>
      <w:tabs>
        <w:tab w:val="right" w:leader="dot" w:pos="9360"/>
      </w:tabs>
      <w:suppressAutoHyphens/>
      <w:ind w:left="1440" w:right="720" w:hanging="1440"/>
    </w:pPr>
    <w:rPr>
      <w:rFonts w:ascii="Arial" w:hAnsi="Arial"/>
      <w:szCs w:val="20"/>
    </w:rPr>
  </w:style>
  <w:style w:type="paragraph" w:styleId="Index2">
    <w:name w:val="index 2"/>
    <w:basedOn w:val="Normal"/>
    <w:next w:val="Normal"/>
    <w:semiHidden/>
    <w:rsid w:val="004C2354"/>
    <w:pPr>
      <w:tabs>
        <w:tab w:val="right" w:leader="dot" w:pos="9360"/>
      </w:tabs>
      <w:suppressAutoHyphens/>
      <w:ind w:left="1440" w:right="720" w:hanging="720"/>
    </w:pPr>
    <w:rPr>
      <w:rFonts w:ascii="Arial" w:hAnsi="Arial"/>
      <w:szCs w:val="20"/>
    </w:rPr>
  </w:style>
  <w:style w:type="character" w:styleId="FollowedHyperlink">
    <w:name w:val="FollowedHyperlink"/>
    <w:basedOn w:val="DefaultParagraphFont"/>
    <w:rsid w:val="00482E95"/>
    <w:rPr>
      <w:color w:val="800080"/>
      <w:u w:val="single"/>
    </w:rPr>
  </w:style>
  <w:style w:type="paragraph" w:styleId="BalloonText">
    <w:name w:val="Balloon Text"/>
    <w:basedOn w:val="Normal"/>
    <w:link w:val="BalloonTextChar"/>
    <w:rsid w:val="001D0822"/>
    <w:rPr>
      <w:rFonts w:ascii="Tahoma" w:hAnsi="Tahoma" w:cs="Tahoma"/>
      <w:sz w:val="16"/>
      <w:szCs w:val="16"/>
    </w:rPr>
  </w:style>
  <w:style w:type="character" w:customStyle="1" w:styleId="BalloonTextChar">
    <w:name w:val="Balloon Text Char"/>
    <w:basedOn w:val="DefaultParagraphFont"/>
    <w:link w:val="BalloonText"/>
    <w:rsid w:val="001D0822"/>
    <w:rPr>
      <w:rFonts w:ascii="Tahoma" w:hAnsi="Tahoma" w:cs="Tahoma"/>
      <w:sz w:val="16"/>
      <w:szCs w:val="16"/>
    </w:rPr>
  </w:style>
  <w:style w:type="paragraph" w:customStyle="1" w:styleId="Level2">
    <w:name w:val="Level 2"/>
    <w:basedOn w:val="Normal"/>
    <w:rsid w:val="004C2354"/>
    <w:pPr>
      <w:jc w:val="center"/>
    </w:pPr>
    <w:rPr>
      <w:rFonts w:ascii="Arial" w:hAnsi="Arial"/>
      <w:b/>
      <w:noProof/>
      <w:szCs w:val="20"/>
    </w:rPr>
  </w:style>
  <w:style w:type="paragraph" w:customStyle="1" w:styleId="DMFIGTABLabel">
    <w:name w:val="DM FIG/TAB Label"/>
    <w:autoRedefine/>
    <w:rsid w:val="004C2354"/>
    <w:pPr>
      <w:jc w:val="center"/>
      <w:outlineLvl w:val="8"/>
    </w:pPr>
    <w:rPr>
      <w:rFonts w:ascii="Arial" w:hAnsi="Arial" w:cs="Arial"/>
      <w:sz w:val="22"/>
      <w:szCs w:val="22"/>
    </w:rPr>
  </w:style>
  <w:style w:type="paragraph" w:customStyle="1" w:styleId="Level1">
    <w:name w:val="Level 1"/>
    <w:basedOn w:val="Normal"/>
    <w:rsid w:val="003247CB"/>
    <w:pPr>
      <w:jc w:val="center"/>
    </w:pPr>
    <w:rPr>
      <w:rFonts w:ascii="Arial" w:hAnsi="Arial" w:cs="Arial"/>
      <w:b/>
      <w:bCs/>
      <w:caps/>
      <w:sz w:val="24"/>
      <w:u w:val="single"/>
    </w:rPr>
  </w:style>
  <w:style w:type="paragraph" w:styleId="TOC6">
    <w:name w:val="toc 6"/>
    <w:basedOn w:val="Normal"/>
    <w:next w:val="Normal"/>
    <w:autoRedefine/>
    <w:uiPriority w:val="39"/>
    <w:rsid w:val="00A32D4E"/>
    <w:pPr>
      <w:ind w:left="1100"/>
    </w:pPr>
    <w:rPr>
      <w:rFonts w:asciiTheme="minorHAnsi" w:hAnsiTheme="minorHAnsi"/>
      <w:sz w:val="18"/>
      <w:szCs w:val="18"/>
    </w:rPr>
  </w:style>
  <w:style w:type="paragraph" w:styleId="TOC7">
    <w:name w:val="toc 7"/>
    <w:basedOn w:val="Normal"/>
    <w:next w:val="Normal"/>
    <w:autoRedefine/>
    <w:uiPriority w:val="39"/>
    <w:rsid w:val="00A32D4E"/>
    <w:pPr>
      <w:ind w:left="1320"/>
    </w:pPr>
    <w:rPr>
      <w:rFonts w:asciiTheme="minorHAnsi" w:hAnsiTheme="minorHAnsi"/>
      <w:sz w:val="18"/>
      <w:szCs w:val="18"/>
    </w:rPr>
  </w:style>
  <w:style w:type="paragraph" w:styleId="TOC8">
    <w:name w:val="toc 8"/>
    <w:basedOn w:val="Normal"/>
    <w:next w:val="Normal"/>
    <w:autoRedefine/>
    <w:uiPriority w:val="39"/>
    <w:rsid w:val="00A32D4E"/>
    <w:pPr>
      <w:ind w:left="1540"/>
    </w:pPr>
    <w:rPr>
      <w:rFonts w:asciiTheme="minorHAnsi" w:hAnsiTheme="minorHAnsi"/>
      <w:sz w:val="18"/>
      <w:szCs w:val="18"/>
    </w:rPr>
  </w:style>
  <w:style w:type="paragraph" w:styleId="Bibliography">
    <w:name w:val="Bibliography"/>
    <w:basedOn w:val="Normal"/>
    <w:next w:val="Normal"/>
    <w:uiPriority w:val="37"/>
    <w:semiHidden/>
    <w:unhideWhenUsed/>
    <w:rsid w:val="00161940"/>
  </w:style>
  <w:style w:type="paragraph" w:styleId="BlockText">
    <w:name w:val="Block Text"/>
    <w:basedOn w:val="Normal"/>
    <w:rsid w:val="0016194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rsid w:val="00161940"/>
    <w:pPr>
      <w:spacing w:after="120" w:line="480" w:lineRule="auto"/>
    </w:pPr>
  </w:style>
  <w:style w:type="character" w:customStyle="1" w:styleId="BodyText2Char">
    <w:name w:val="Body Text 2 Char"/>
    <w:basedOn w:val="DefaultParagraphFont"/>
    <w:link w:val="BodyText2"/>
    <w:rsid w:val="00161940"/>
    <w:rPr>
      <w:sz w:val="22"/>
      <w:szCs w:val="24"/>
    </w:rPr>
  </w:style>
  <w:style w:type="paragraph" w:styleId="BodyText3">
    <w:name w:val="Body Text 3"/>
    <w:basedOn w:val="Normal"/>
    <w:link w:val="BodyText3Char"/>
    <w:rsid w:val="00161940"/>
    <w:pPr>
      <w:spacing w:after="120"/>
    </w:pPr>
    <w:rPr>
      <w:sz w:val="16"/>
      <w:szCs w:val="16"/>
    </w:rPr>
  </w:style>
  <w:style w:type="character" w:customStyle="1" w:styleId="BodyText3Char">
    <w:name w:val="Body Text 3 Char"/>
    <w:basedOn w:val="DefaultParagraphFont"/>
    <w:link w:val="BodyText3"/>
    <w:rsid w:val="00161940"/>
    <w:rPr>
      <w:sz w:val="16"/>
      <w:szCs w:val="16"/>
    </w:rPr>
  </w:style>
  <w:style w:type="paragraph" w:styleId="BodyTextFirstIndent">
    <w:name w:val="Body Text First Indent"/>
    <w:basedOn w:val="Normal"/>
    <w:link w:val="BodyTextFirstIndentChar"/>
    <w:rsid w:val="00F362F1"/>
    <w:pPr>
      <w:ind w:firstLine="360"/>
    </w:pPr>
  </w:style>
  <w:style w:type="character" w:customStyle="1" w:styleId="BodyTextFirstIndentChar">
    <w:name w:val="Body Text First Indent Char"/>
    <w:basedOn w:val="DefaultParagraphFont"/>
    <w:link w:val="BodyTextFirstIndent"/>
    <w:rsid w:val="00F362F1"/>
    <w:rPr>
      <w:sz w:val="22"/>
      <w:szCs w:val="24"/>
    </w:rPr>
  </w:style>
  <w:style w:type="paragraph" w:styleId="BodyTextIndent">
    <w:name w:val="Body Text Indent"/>
    <w:basedOn w:val="Normal"/>
    <w:link w:val="BodyTextIndentChar"/>
    <w:rsid w:val="00161940"/>
    <w:pPr>
      <w:spacing w:after="120"/>
      <w:ind w:left="360"/>
    </w:pPr>
  </w:style>
  <w:style w:type="character" w:customStyle="1" w:styleId="BodyTextIndentChar">
    <w:name w:val="Body Text Indent Char"/>
    <w:basedOn w:val="DefaultParagraphFont"/>
    <w:link w:val="BodyTextIndent"/>
    <w:rsid w:val="00161940"/>
    <w:rPr>
      <w:sz w:val="22"/>
      <w:szCs w:val="24"/>
    </w:rPr>
  </w:style>
  <w:style w:type="paragraph" w:styleId="BodyTextFirstIndent2">
    <w:name w:val="Body Text First Indent 2"/>
    <w:basedOn w:val="BodyTextIndent"/>
    <w:link w:val="BodyTextFirstIndent2Char"/>
    <w:rsid w:val="00161940"/>
    <w:pPr>
      <w:spacing w:after="0"/>
      <w:ind w:firstLine="360"/>
    </w:pPr>
  </w:style>
  <w:style w:type="character" w:customStyle="1" w:styleId="BodyTextFirstIndent2Char">
    <w:name w:val="Body Text First Indent 2 Char"/>
    <w:basedOn w:val="BodyTextIndentChar"/>
    <w:link w:val="BodyTextFirstIndent2"/>
    <w:rsid w:val="00161940"/>
  </w:style>
  <w:style w:type="paragraph" w:styleId="BodyTextIndent2">
    <w:name w:val="Body Text Indent 2"/>
    <w:basedOn w:val="Normal"/>
    <w:link w:val="BodyTextIndent2Char"/>
    <w:rsid w:val="00161940"/>
    <w:pPr>
      <w:spacing w:after="120" w:line="480" w:lineRule="auto"/>
      <w:ind w:left="360"/>
    </w:pPr>
  </w:style>
  <w:style w:type="character" w:customStyle="1" w:styleId="BodyTextIndent2Char">
    <w:name w:val="Body Text Indent 2 Char"/>
    <w:basedOn w:val="DefaultParagraphFont"/>
    <w:link w:val="BodyTextIndent2"/>
    <w:rsid w:val="00161940"/>
    <w:rPr>
      <w:sz w:val="22"/>
      <w:szCs w:val="24"/>
    </w:rPr>
  </w:style>
  <w:style w:type="paragraph" w:styleId="BodyTextIndent3">
    <w:name w:val="Body Text Indent 3"/>
    <w:basedOn w:val="Normal"/>
    <w:link w:val="BodyTextIndent3Char"/>
    <w:rsid w:val="00161940"/>
    <w:pPr>
      <w:spacing w:after="120"/>
      <w:ind w:left="360"/>
    </w:pPr>
    <w:rPr>
      <w:sz w:val="16"/>
      <w:szCs w:val="16"/>
    </w:rPr>
  </w:style>
  <w:style w:type="character" w:customStyle="1" w:styleId="BodyTextIndent3Char">
    <w:name w:val="Body Text Indent 3 Char"/>
    <w:basedOn w:val="DefaultParagraphFont"/>
    <w:link w:val="BodyTextIndent3"/>
    <w:rsid w:val="00161940"/>
    <w:rPr>
      <w:sz w:val="16"/>
      <w:szCs w:val="16"/>
    </w:rPr>
  </w:style>
  <w:style w:type="paragraph" w:styleId="Caption">
    <w:name w:val="caption"/>
    <w:basedOn w:val="Normal"/>
    <w:next w:val="Normal"/>
    <w:semiHidden/>
    <w:unhideWhenUsed/>
    <w:qFormat/>
    <w:rsid w:val="00161940"/>
    <w:pPr>
      <w:spacing w:after="200"/>
    </w:pPr>
    <w:rPr>
      <w:b/>
      <w:bCs/>
      <w:color w:val="4F81BD" w:themeColor="accent1"/>
      <w:sz w:val="18"/>
      <w:szCs w:val="18"/>
    </w:rPr>
  </w:style>
  <w:style w:type="paragraph" w:styleId="Closing">
    <w:name w:val="Closing"/>
    <w:basedOn w:val="Normal"/>
    <w:link w:val="ClosingChar"/>
    <w:rsid w:val="00161940"/>
    <w:pPr>
      <w:ind w:left="4320"/>
    </w:pPr>
  </w:style>
  <w:style w:type="character" w:customStyle="1" w:styleId="ClosingChar">
    <w:name w:val="Closing Char"/>
    <w:basedOn w:val="DefaultParagraphFont"/>
    <w:link w:val="Closing"/>
    <w:rsid w:val="00161940"/>
    <w:rPr>
      <w:sz w:val="22"/>
      <w:szCs w:val="24"/>
    </w:rPr>
  </w:style>
  <w:style w:type="paragraph" w:styleId="CommentText">
    <w:name w:val="annotation text"/>
    <w:basedOn w:val="Normal"/>
    <w:link w:val="CommentTextChar"/>
    <w:rsid w:val="00161940"/>
    <w:rPr>
      <w:sz w:val="20"/>
      <w:szCs w:val="20"/>
    </w:rPr>
  </w:style>
  <w:style w:type="character" w:customStyle="1" w:styleId="CommentTextChar">
    <w:name w:val="Comment Text Char"/>
    <w:basedOn w:val="DefaultParagraphFont"/>
    <w:link w:val="CommentText"/>
    <w:rsid w:val="00161940"/>
  </w:style>
  <w:style w:type="paragraph" w:styleId="CommentSubject">
    <w:name w:val="annotation subject"/>
    <w:basedOn w:val="CommentText"/>
    <w:next w:val="CommentText"/>
    <w:link w:val="CommentSubjectChar"/>
    <w:rsid w:val="00161940"/>
    <w:rPr>
      <w:b/>
      <w:bCs/>
    </w:rPr>
  </w:style>
  <w:style w:type="character" w:customStyle="1" w:styleId="CommentSubjectChar">
    <w:name w:val="Comment Subject Char"/>
    <w:basedOn w:val="CommentTextChar"/>
    <w:link w:val="CommentSubject"/>
    <w:rsid w:val="00161940"/>
    <w:rPr>
      <w:b/>
      <w:bCs/>
    </w:rPr>
  </w:style>
  <w:style w:type="paragraph" w:styleId="Date">
    <w:name w:val="Date"/>
    <w:basedOn w:val="Normal"/>
    <w:next w:val="Normal"/>
    <w:link w:val="DateChar"/>
    <w:rsid w:val="00161940"/>
  </w:style>
  <w:style w:type="character" w:customStyle="1" w:styleId="DateChar">
    <w:name w:val="Date Char"/>
    <w:basedOn w:val="DefaultParagraphFont"/>
    <w:link w:val="Date"/>
    <w:rsid w:val="00161940"/>
    <w:rPr>
      <w:sz w:val="22"/>
      <w:szCs w:val="24"/>
    </w:rPr>
  </w:style>
  <w:style w:type="paragraph" w:styleId="DocumentMap">
    <w:name w:val="Document Map"/>
    <w:basedOn w:val="Normal"/>
    <w:link w:val="DocumentMapChar"/>
    <w:rsid w:val="00161940"/>
    <w:rPr>
      <w:rFonts w:ascii="Tahoma" w:hAnsi="Tahoma" w:cs="Tahoma"/>
      <w:sz w:val="16"/>
      <w:szCs w:val="16"/>
    </w:rPr>
  </w:style>
  <w:style w:type="character" w:customStyle="1" w:styleId="DocumentMapChar">
    <w:name w:val="Document Map Char"/>
    <w:basedOn w:val="DefaultParagraphFont"/>
    <w:link w:val="DocumentMap"/>
    <w:rsid w:val="00161940"/>
    <w:rPr>
      <w:rFonts w:ascii="Tahoma" w:hAnsi="Tahoma" w:cs="Tahoma"/>
      <w:sz w:val="16"/>
      <w:szCs w:val="16"/>
    </w:rPr>
  </w:style>
  <w:style w:type="paragraph" w:styleId="E-mailSignature">
    <w:name w:val="E-mail Signature"/>
    <w:basedOn w:val="Normal"/>
    <w:link w:val="E-mailSignatureChar"/>
    <w:rsid w:val="00161940"/>
  </w:style>
  <w:style w:type="character" w:customStyle="1" w:styleId="E-mailSignatureChar">
    <w:name w:val="E-mail Signature Char"/>
    <w:basedOn w:val="DefaultParagraphFont"/>
    <w:link w:val="E-mailSignature"/>
    <w:rsid w:val="00161940"/>
    <w:rPr>
      <w:sz w:val="22"/>
      <w:szCs w:val="24"/>
    </w:rPr>
  </w:style>
  <w:style w:type="paragraph" w:styleId="EndnoteText">
    <w:name w:val="endnote text"/>
    <w:basedOn w:val="Normal"/>
    <w:link w:val="EndnoteTextChar"/>
    <w:rsid w:val="00161940"/>
    <w:rPr>
      <w:sz w:val="20"/>
      <w:szCs w:val="20"/>
    </w:rPr>
  </w:style>
  <w:style w:type="character" w:customStyle="1" w:styleId="EndnoteTextChar">
    <w:name w:val="Endnote Text Char"/>
    <w:basedOn w:val="DefaultParagraphFont"/>
    <w:link w:val="EndnoteText"/>
    <w:rsid w:val="00161940"/>
  </w:style>
  <w:style w:type="paragraph" w:styleId="EnvelopeAddress">
    <w:name w:val="envelope address"/>
    <w:basedOn w:val="Normal"/>
    <w:rsid w:val="00161940"/>
    <w:pPr>
      <w:framePr w:w="7920" w:h="1980" w:hRule="exact" w:hSpace="180" w:wrap="auto" w:hAnchor="page" w:xAlign="center" w:yAlign="bottom"/>
      <w:ind w:left="2880"/>
    </w:pPr>
    <w:rPr>
      <w:sz w:val="24"/>
    </w:rPr>
  </w:style>
  <w:style w:type="paragraph" w:styleId="EnvelopeReturn">
    <w:name w:val="envelope return"/>
    <w:basedOn w:val="Normal"/>
    <w:rsid w:val="00161940"/>
    <w:rPr>
      <w:sz w:val="20"/>
      <w:szCs w:val="20"/>
    </w:rPr>
  </w:style>
  <w:style w:type="paragraph" w:styleId="FootnoteText">
    <w:name w:val="footnote text"/>
    <w:basedOn w:val="Normal"/>
    <w:link w:val="FootnoteTextChar"/>
    <w:rsid w:val="00161940"/>
    <w:rPr>
      <w:sz w:val="20"/>
      <w:szCs w:val="20"/>
    </w:rPr>
  </w:style>
  <w:style w:type="character" w:customStyle="1" w:styleId="FootnoteTextChar">
    <w:name w:val="Footnote Text Char"/>
    <w:basedOn w:val="DefaultParagraphFont"/>
    <w:link w:val="FootnoteText"/>
    <w:rsid w:val="00161940"/>
  </w:style>
  <w:style w:type="paragraph" w:styleId="HTMLAddress">
    <w:name w:val="HTML Address"/>
    <w:basedOn w:val="Normal"/>
    <w:link w:val="HTMLAddressChar"/>
    <w:rsid w:val="00161940"/>
    <w:rPr>
      <w:i/>
      <w:iCs/>
    </w:rPr>
  </w:style>
  <w:style w:type="character" w:customStyle="1" w:styleId="HTMLAddressChar">
    <w:name w:val="HTML Address Char"/>
    <w:basedOn w:val="DefaultParagraphFont"/>
    <w:link w:val="HTMLAddress"/>
    <w:rsid w:val="00161940"/>
    <w:rPr>
      <w:i/>
      <w:iCs/>
      <w:sz w:val="22"/>
      <w:szCs w:val="24"/>
    </w:rPr>
  </w:style>
  <w:style w:type="paragraph" w:styleId="HTMLPreformatted">
    <w:name w:val="HTML Preformatted"/>
    <w:basedOn w:val="Normal"/>
    <w:link w:val="HTMLPreformattedChar"/>
    <w:rsid w:val="00161940"/>
    <w:rPr>
      <w:rFonts w:ascii="Consolas" w:hAnsi="Consolas"/>
      <w:sz w:val="20"/>
      <w:szCs w:val="20"/>
    </w:rPr>
  </w:style>
  <w:style w:type="character" w:customStyle="1" w:styleId="HTMLPreformattedChar">
    <w:name w:val="HTML Preformatted Char"/>
    <w:basedOn w:val="DefaultParagraphFont"/>
    <w:link w:val="HTMLPreformatted"/>
    <w:rsid w:val="00161940"/>
    <w:rPr>
      <w:rFonts w:ascii="Consolas" w:hAnsi="Consolas"/>
    </w:rPr>
  </w:style>
  <w:style w:type="paragraph" w:styleId="Index3">
    <w:name w:val="index 3"/>
    <w:basedOn w:val="Normal"/>
    <w:next w:val="Normal"/>
    <w:autoRedefine/>
    <w:rsid w:val="00161940"/>
    <w:pPr>
      <w:ind w:left="660" w:hanging="220"/>
    </w:pPr>
  </w:style>
  <w:style w:type="paragraph" w:styleId="Index4">
    <w:name w:val="index 4"/>
    <w:basedOn w:val="Normal"/>
    <w:next w:val="Normal"/>
    <w:autoRedefine/>
    <w:rsid w:val="00161940"/>
    <w:pPr>
      <w:ind w:left="880" w:hanging="220"/>
    </w:pPr>
  </w:style>
  <w:style w:type="paragraph" w:styleId="Index5">
    <w:name w:val="index 5"/>
    <w:basedOn w:val="Normal"/>
    <w:next w:val="Normal"/>
    <w:autoRedefine/>
    <w:rsid w:val="00161940"/>
    <w:pPr>
      <w:ind w:left="1100" w:hanging="220"/>
    </w:pPr>
  </w:style>
  <w:style w:type="paragraph" w:styleId="Index6">
    <w:name w:val="index 6"/>
    <w:basedOn w:val="Normal"/>
    <w:next w:val="Normal"/>
    <w:autoRedefine/>
    <w:rsid w:val="00161940"/>
    <w:pPr>
      <w:ind w:left="1320" w:hanging="220"/>
    </w:pPr>
  </w:style>
  <w:style w:type="paragraph" w:styleId="Index7">
    <w:name w:val="index 7"/>
    <w:basedOn w:val="Normal"/>
    <w:next w:val="Normal"/>
    <w:autoRedefine/>
    <w:rsid w:val="00161940"/>
    <w:pPr>
      <w:ind w:left="1540" w:hanging="220"/>
    </w:pPr>
  </w:style>
  <w:style w:type="paragraph" w:styleId="Index8">
    <w:name w:val="index 8"/>
    <w:basedOn w:val="Normal"/>
    <w:next w:val="Normal"/>
    <w:autoRedefine/>
    <w:rsid w:val="00161940"/>
    <w:pPr>
      <w:ind w:left="1760" w:hanging="220"/>
    </w:pPr>
  </w:style>
  <w:style w:type="paragraph" w:styleId="Index9">
    <w:name w:val="index 9"/>
    <w:basedOn w:val="Normal"/>
    <w:next w:val="Normal"/>
    <w:autoRedefine/>
    <w:rsid w:val="00161940"/>
    <w:pPr>
      <w:ind w:left="1980" w:hanging="220"/>
    </w:pPr>
  </w:style>
  <w:style w:type="paragraph" w:styleId="IndexHeading">
    <w:name w:val="index heading"/>
    <w:basedOn w:val="Normal"/>
    <w:next w:val="Index1"/>
    <w:rsid w:val="00161940"/>
    <w:rPr>
      <w:b/>
      <w:bCs/>
    </w:rPr>
  </w:style>
  <w:style w:type="paragraph" w:styleId="IntenseQuote">
    <w:name w:val="Intense Quote"/>
    <w:basedOn w:val="Normal"/>
    <w:next w:val="Normal"/>
    <w:link w:val="IntenseQuoteChar"/>
    <w:uiPriority w:val="30"/>
    <w:qFormat/>
    <w:rsid w:val="0016194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61940"/>
    <w:rPr>
      <w:b/>
      <w:bCs/>
      <w:i/>
      <w:iCs/>
      <w:color w:val="4F81BD" w:themeColor="accent1"/>
      <w:sz w:val="22"/>
      <w:szCs w:val="24"/>
    </w:rPr>
  </w:style>
  <w:style w:type="paragraph" w:styleId="List">
    <w:name w:val="List"/>
    <w:basedOn w:val="Normal"/>
    <w:rsid w:val="00161940"/>
    <w:pPr>
      <w:ind w:left="360" w:hanging="360"/>
      <w:contextualSpacing/>
    </w:pPr>
  </w:style>
  <w:style w:type="paragraph" w:styleId="List2">
    <w:name w:val="List 2"/>
    <w:basedOn w:val="Normal"/>
    <w:rsid w:val="00161940"/>
    <w:pPr>
      <w:ind w:left="720" w:hanging="360"/>
      <w:contextualSpacing/>
    </w:pPr>
  </w:style>
  <w:style w:type="paragraph" w:styleId="List3">
    <w:name w:val="List 3"/>
    <w:basedOn w:val="Normal"/>
    <w:rsid w:val="00161940"/>
    <w:pPr>
      <w:ind w:left="1080" w:hanging="360"/>
      <w:contextualSpacing/>
    </w:pPr>
  </w:style>
  <w:style w:type="paragraph" w:styleId="List4">
    <w:name w:val="List 4"/>
    <w:basedOn w:val="Normal"/>
    <w:rsid w:val="00161940"/>
    <w:pPr>
      <w:ind w:left="1440" w:hanging="360"/>
      <w:contextualSpacing/>
    </w:pPr>
  </w:style>
  <w:style w:type="paragraph" w:styleId="List5">
    <w:name w:val="List 5"/>
    <w:basedOn w:val="Normal"/>
    <w:rsid w:val="00161940"/>
    <w:pPr>
      <w:ind w:left="1800" w:hanging="360"/>
      <w:contextualSpacing/>
    </w:pPr>
  </w:style>
  <w:style w:type="paragraph" w:styleId="ListBullet">
    <w:name w:val="List Bullet"/>
    <w:basedOn w:val="Normal"/>
    <w:rsid w:val="00161940"/>
    <w:pPr>
      <w:numPr>
        <w:numId w:val="4"/>
      </w:numPr>
      <w:contextualSpacing/>
    </w:pPr>
  </w:style>
  <w:style w:type="paragraph" w:styleId="ListBullet2">
    <w:name w:val="List Bullet 2"/>
    <w:basedOn w:val="Normal"/>
    <w:rsid w:val="00161940"/>
    <w:pPr>
      <w:numPr>
        <w:numId w:val="5"/>
      </w:numPr>
      <w:contextualSpacing/>
    </w:pPr>
  </w:style>
  <w:style w:type="paragraph" w:styleId="ListBullet3">
    <w:name w:val="List Bullet 3"/>
    <w:basedOn w:val="Normal"/>
    <w:rsid w:val="00161940"/>
    <w:pPr>
      <w:numPr>
        <w:numId w:val="6"/>
      </w:numPr>
      <w:contextualSpacing/>
    </w:pPr>
  </w:style>
  <w:style w:type="paragraph" w:styleId="ListBullet4">
    <w:name w:val="List Bullet 4"/>
    <w:basedOn w:val="Normal"/>
    <w:rsid w:val="00161940"/>
    <w:pPr>
      <w:numPr>
        <w:numId w:val="7"/>
      </w:numPr>
      <w:contextualSpacing/>
    </w:pPr>
  </w:style>
  <w:style w:type="paragraph" w:styleId="ListBullet5">
    <w:name w:val="List Bullet 5"/>
    <w:basedOn w:val="Normal"/>
    <w:rsid w:val="00161940"/>
    <w:pPr>
      <w:numPr>
        <w:numId w:val="8"/>
      </w:numPr>
      <w:contextualSpacing/>
    </w:pPr>
  </w:style>
  <w:style w:type="paragraph" w:styleId="ListContinue">
    <w:name w:val="List Continue"/>
    <w:basedOn w:val="Normal"/>
    <w:rsid w:val="00161940"/>
    <w:pPr>
      <w:spacing w:after="120"/>
      <w:ind w:left="360"/>
      <w:contextualSpacing/>
    </w:pPr>
  </w:style>
  <w:style w:type="paragraph" w:styleId="ListContinue2">
    <w:name w:val="List Continue 2"/>
    <w:basedOn w:val="Normal"/>
    <w:rsid w:val="00161940"/>
    <w:pPr>
      <w:spacing w:after="120"/>
      <w:ind w:left="720"/>
      <w:contextualSpacing/>
    </w:pPr>
  </w:style>
  <w:style w:type="paragraph" w:styleId="ListContinue3">
    <w:name w:val="List Continue 3"/>
    <w:basedOn w:val="Normal"/>
    <w:rsid w:val="00161940"/>
    <w:pPr>
      <w:spacing w:after="120"/>
      <w:ind w:left="1080"/>
      <w:contextualSpacing/>
    </w:pPr>
  </w:style>
  <w:style w:type="paragraph" w:styleId="ListContinue4">
    <w:name w:val="List Continue 4"/>
    <w:basedOn w:val="Normal"/>
    <w:rsid w:val="000C0D72"/>
    <w:pPr>
      <w:spacing w:after="120"/>
      <w:ind w:left="1440"/>
      <w:contextualSpacing/>
    </w:pPr>
    <w:rPr>
      <w:rFonts w:ascii="Arial" w:hAnsi="Arial"/>
      <w:sz w:val="24"/>
    </w:rPr>
  </w:style>
  <w:style w:type="paragraph" w:styleId="ListContinue5">
    <w:name w:val="List Continue 5"/>
    <w:basedOn w:val="Normal"/>
    <w:rsid w:val="00161940"/>
    <w:pPr>
      <w:spacing w:after="120"/>
      <w:ind w:left="1800"/>
      <w:contextualSpacing/>
    </w:pPr>
  </w:style>
  <w:style w:type="paragraph" w:styleId="ListParagraph">
    <w:name w:val="List Paragraph"/>
    <w:basedOn w:val="Normal"/>
    <w:link w:val="ListParagraphChar"/>
    <w:uiPriority w:val="34"/>
    <w:qFormat/>
    <w:rsid w:val="00161940"/>
    <w:pPr>
      <w:ind w:left="720"/>
      <w:contextualSpacing/>
    </w:pPr>
  </w:style>
  <w:style w:type="paragraph" w:styleId="MacroText">
    <w:name w:val="macro"/>
    <w:link w:val="MacroTextChar"/>
    <w:rsid w:val="00161940"/>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rsid w:val="00161940"/>
    <w:rPr>
      <w:rFonts w:ascii="Consolas" w:hAnsi="Consolas"/>
    </w:rPr>
  </w:style>
  <w:style w:type="paragraph" w:styleId="MessageHeader">
    <w:name w:val="Message Header"/>
    <w:basedOn w:val="Normal"/>
    <w:link w:val="MessageHeaderChar"/>
    <w:rsid w:val="00161940"/>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character" w:customStyle="1" w:styleId="MessageHeaderChar">
    <w:name w:val="Message Header Char"/>
    <w:basedOn w:val="DefaultParagraphFont"/>
    <w:link w:val="MessageHeader"/>
    <w:rsid w:val="00161940"/>
    <w:rPr>
      <w:rFonts w:ascii="Times New Roman" w:eastAsia="Times New Roman" w:hAnsi="Times New Roman" w:cs="Times New Roman"/>
      <w:sz w:val="24"/>
      <w:szCs w:val="24"/>
      <w:shd w:val="pct20" w:color="auto" w:fill="auto"/>
    </w:rPr>
  </w:style>
  <w:style w:type="paragraph" w:styleId="NoSpacing">
    <w:name w:val="No Spacing"/>
    <w:uiPriority w:val="1"/>
    <w:qFormat/>
    <w:rsid w:val="00161940"/>
    <w:rPr>
      <w:sz w:val="22"/>
      <w:szCs w:val="24"/>
    </w:rPr>
  </w:style>
  <w:style w:type="paragraph" w:styleId="NormalWeb">
    <w:name w:val="Normal (Web)"/>
    <w:basedOn w:val="Normal"/>
    <w:rsid w:val="00161940"/>
    <w:rPr>
      <w:sz w:val="24"/>
    </w:rPr>
  </w:style>
  <w:style w:type="paragraph" w:styleId="NormalIndent">
    <w:name w:val="Normal Indent"/>
    <w:basedOn w:val="Normal"/>
    <w:rsid w:val="00161940"/>
    <w:pPr>
      <w:ind w:left="720"/>
    </w:pPr>
  </w:style>
  <w:style w:type="paragraph" w:styleId="NoteHeading">
    <w:name w:val="Note Heading"/>
    <w:basedOn w:val="Normal"/>
    <w:next w:val="Normal"/>
    <w:link w:val="NoteHeadingChar"/>
    <w:rsid w:val="00161940"/>
  </w:style>
  <w:style w:type="character" w:customStyle="1" w:styleId="NoteHeadingChar">
    <w:name w:val="Note Heading Char"/>
    <w:basedOn w:val="DefaultParagraphFont"/>
    <w:link w:val="NoteHeading"/>
    <w:rsid w:val="00161940"/>
    <w:rPr>
      <w:sz w:val="22"/>
      <w:szCs w:val="24"/>
    </w:rPr>
  </w:style>
  <w:style w:type="paragraph" w:styleId="PlainText">
    <w:name w:val="Plain Text"/>
    <w:basedOn w:val="Normal"/>
    <w:link w:val="PlainTextChar"/>
    <w:rsid w:val="00161940"/>
    <w:rPr>
      <w:rFonts w:ascii="Consolas" w:hAnsi="Consolas"/>
      <w:sz w:val="21"/>
      <w:szCs w:val="21"/>
    </w:rPr>
  </w:style>
  <w:style w:type="character" w:customStyle="1" w:styleId="PlainTextChar">
    <w:name w:val="Plain Text Char"/>
    <w:basedOn w:val="DefaultParagraphFont"/>
    <w:link w:val="PlainText"/>
    <w:rsid w:val="00161940"/>
    <w:rPr>
      <w:rFonts w:ascii="Consolas" w:hAnsi="Consolas"/>
      <w:sz w:val="21"/>
      <w:szCs w:val="21"/>
    </w:rPr>
  </w:style>
  <w:style w:type="paragraph" w:styleId="Quote">
    <w:name w:val="Quote"/>
    <w:basedOn w:val="Normal"/>
    <w:next w:val="Normal"/>
    <w:link w:val="QuoteChar"/>
    <w:uiPriority w:val="29"/>
    <w:qFormat/>
    <w:rsid w:val="00161940"/>
    <w:rPr>
      <w:i/>
      <w:iCs/>
      <w:color w:val="000000" w:themeColor="text1"/>
    </w:rPr>
  </w:style>
  <w:style w:type="character" w:customStyle="1" w:styleId="QuoteChar">
    <w:name w:val="Quote Char"/>
    <w:basedOn w:val="DefaultParagraphFont"/>
    <w:link w:val="Quote"/>
    <w:uiPriority w:val="29"/>
    <w:rsid w:val="00161940"/>
    <w:rPr>
      <w:i/>
      <w:iCs/>
      <w:color w:val="000000" w:themeColor="text1"/>
      <w:sz w:val="22"/>
      <w:szCs w:val="24"/>
    </w:rPr>
  </w:style>
  <w:style w:type="paragraph" w:styleId="Salutation">
    <w:name w:val="Salutation"/>
    <w:basedOn w:val="Normal"/>
    <w:next w:val="Normal"/>
    <w:link w:val="SalutationChar"/>
    <w:rsid w:val="00161940"/>
  </w:style>
  <w:style w:type="character" w:customStyle="1" w:styleId="SalutationChar">
    <w:name w:val="Salutation Char"/>
    <w:basedOn w:val="DefaultParagraphFont"/>
    <w:link w:val="Salutation"/>
    <w:rsid w:val="00161940"/>
    <w:rPr>
      <w:sz w:val="22"/>
      <w:szCs w:val="24"/>
    </w:rPr>
  </w:style>
  <w:style w:type="paragraph" w:styleId="Signature">
    <w:name w:val="Signature"/>
    <w:basedOn w:val="Normal"/>
    <w:link w:val="SignatureChar"/>
    <w:rsid w:val="00161940"/>
    <w:pPr>
      <w:ind w:left="4320"/>
    </w:pPr>
  </w:style>
  <w:style w:type="character" w:customStyle="1" w:styleId="SignatureChar">
    <w:name w:val="Signature Char"/>
    <w:basedOn w:val="DefaultParagraphFont"/>
    <w:link w:val="Signature"/>
    <w:rsid w:val="00161940"/>
    <w:rPr>
      <w:sz w:val="22"/>
      <w:szCs w:val="24"/>
    </w:rPr>
  </w:style>
  <w:style w:type="paragraph" w:styleId="Subtitle">
    <w:name w:val="Subtitle"/>
    <w:basedOn w:val="Normal"/>
    <w:next w:val="Normal"/>
    <w:link w:val="SubtitleChar"/>
    <w:qFormat/>
    <w:rsid w:val="00161940"/>
    <w:pPr>
      <w:numPr>
        <w:ilvl w:val="1"/>
      </w:numPr>
    </w:pPr>
    <w:rPr>
      <w:i/>
      <w:iCs/>
      <w:color w:val="4F81BD" w:themeColor="accent1"/>
      <w:spacing w:val="15"/>
      <w:sz w:val="24"/>
    </w:rPr>
  </w:style>
  <w:style w:type="character" w:customStyle="1" w:styleId="SubtitleChar">
    <w:name w:val="Subtitle Char"/>
    <w:basedOn w:val="DefaultParagraphFont"/>
    <w:link w:val="Subtitle"/>
    <w:rsid w:val="00161940"/>
    <w:rPr>
      <w:rFonts w:ascii="Times New Roman" w:eastAsia="Times New Roman" w:hAnsi="Times New Roman" w:cs="Times New Roman"/>
      <w:i/>
      <w:iCs/>
      <w:color w:val="4F81BD" w:themeColor="accent1"/>
      <w:spacing w:val="15"/>
      <w:sz w:val="24"/>
      <w:szCs w:val="24"/>
    </w:rPr>
  </w:style>
  <w:style w:type="paragraph" w:styleId="TableofAuthorities">
    <w:name w:val="table of authorities"/>
    <w:basedOn w:val="Normal"/>
    <w:next w:val="Normal"/>
    <w:rsid w:val="00161940"/>
    <w:pPr>
      <w:ind w:left="220" w:hanging="220"/>
    </w:pPr>
  </w:style>
  <w:style w:type="paragraph" w:styleId="Title">
    <w:name w:val="Title"/>
    <w:basedOn w:val="Normal"/>
    <w:next w:val="Normal"/>
    <w:link w:val="TitleChar"/>
    <w:qFormat/>
    <w:rsid w:val="00161940"/>
    <w:pPr>
      <w:pBdr>
        <w:bottom w:val="single" w:sz="8" w:space="4" w:color="4F81BD" w:themeColor="accent1"/>
      </w:pBdr>
      <w:spacing w:after="300"/>
      <w:contextualSpacing/>
    </w:pPr>
    <w:rPr>
      <w:color w:val="17365D" w:themeColor="text2" w:themeShade="BF"/>
      <w:spacing w:val="5"/>
      <w:kern w:val="28"/>
      <w:sz w:val="52"/>
      <w:szCs w:val="52"/>
    </w:rPr>
  </w:style>
  <w:style w:type="character" w:customStyle="1" w:styleId="TitleChar">
    <w:name w:val="Title Char"/>
    <w:basedOn w:val="DefaultParagraphFont"/>
    <w:link w:val="Title"/>
    <w:rsid w:val="00161940"/>
    <w:rPr>
      <w:rFonts w:ascii="Times New Roman" w:eastAsia="Times New Roman" w:hAnsi="Times New Roman" w:cs="Times New Roman"/>
      <w:color w:val="17365D" w:themeColor="text2" w:themeShade="BF"/>
      <w:spacing w:val="5"/>
      <w:kern w:val="28"/>
      <w:sz w:val="52"/>
      <w:szCs w:val="52"/>
    </w:rPr>
  </w:style>
  <w:style w:type="paragraph" w:styleId="TOAHeading">
    <w:name w:val="toa heading"/>
    <w:basedOn w:val="Normal"/>
    <w:next w:val="Normal"/>
    <w:rsid w:val="00161940"/>
    <w:pPr>
      <w:spacing w:before="120"/>
    </w:pPr>
    <w:rPr>
      <w:b/>
      <w:bCs/>
      <w:sz w:val="24"/>
    </w:rPr>
  </w:style>
  <w:style w:type="table" w:styleId="TableGrid">
    <w:name w:val="Table Grid"/>
    <w:basedOn w:val="TableNormal"/>
    <w:uiPriority w:val="59"/>
    <w:rsid w:val="006F3022"/>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umberedList">
    <w:name w:val="Numbered List"/>
    <w:next w:val="BodyText"/>
    <w:qFormat/>
    <w:rsid w:val="00B25412"/>
    <w:pPr>
      <w:numPr>
        <w:numId w:val="22"/>
      </w:numPr>
      <w:tabs>
        <w:tab w:val="left" w:pos="1872"/>
      </w:tabs>
    </w:pPr>
    <w:rPr>
      <w:rFonts w:ascii="Arial" w:hAnsi="Arial"/>
      <w:sz w:val="24"/>
      <w:szCs w:val="24"/>
    </w:rPr>
  </w:style>
  <w:style w:type="character" w:styleId="CommentReference">
    <w:name w:val="annotation reference"/>
    <w:basedOn w:val="DefaultParagraphFont"/>
    <w:rsid w:val="000A6326"/>
    <w:rPr>
      <w:sz w:val="16"/>
      <w:szCs w:val="16"/>
    </w:rPr>
  </w:style>
  <w:style w:type="paragraph" w:styleId="Revision">
    <w:name w:val="Revision"/>
    <w:hidden/>
    <w:uiPriority w:val="99"/>
    <w:semiHidden/>
    <w:rsid w:val="000A6326"/>
    <w:rPr>
      <w:sz w:val="22"/>
      <w:szCs w:val="24"/>
    </w:rPr>
  </w:style>
  <w:style w:type="paragraph" w:customStyle="1" w:styleId="Style1">
    <w:name w:val="Style1"/>
    <w:basedOn w:val="Heading2"/>
    <w:rsid w:val="00671D14"/>
    <w:pPr>
      <w:numPr>
        <w:numId w:val="26"/>
      </w:numPr>
      <w:spacing w:before="0" w:after="0"/>
      <w:jc w:val="both"/>
    </w:pPr>
    <w:rPr>
      <w:rFonts w:cs="Times New Roman"/>
      <w:i/>
      <w:iCs w:val="0"/>
      <w:caps w:val="0"/>
      <w:sz w:val="28"/>
      <w:szCs w:val="24"/>
    </w:rPr>
  </w:style>
  <w:style w:type="character" w:styleId="FootnoteReference">
    <w:name w:val="footnote reference"/>
    <w:basedOn w:val="DefaultParagraphFont"/>
    <w:rsid w:val="00671D14"/>
    <w:rPr>
      <w:vertAlign w:val="superscript"/>
    </w:rPr>
  </w:style>
  <w:style w:type="paragraph" w:customStyle="1" w:styleId="Cmpdash2">
    <w:name w:val="Cmp:dash:2"/>
    <w:rsid w:val="00671D14"/>
    <w:pPr>
      <w:widowControl w:val="0"/>
      <w:tabs>
        <w:tab w:val="left" w:pos="360"/>
        <w:tab w:val="left" w:pos="720"/>
        <w:tab w:val="left" w:pos="1080"/>
        <w:tab w:val="left" w:pos="1440"/>
        <w:tab w:val="left" w:pos="2880"/>
        <w:tab w:val="left" w:pos="4320"/>
      </w:tabs>
      <w:spacing w:before="14" w:after="14"/>
      <w:ind w:left="720" w:hanging="360"/>
      <w:jc w:val="both"/>
    </w:pPr>
    <w:rPr>
      <w:rFonts w:ascii="Times" w:hAnsi="Times"/>
      <w:snapToGrid w:val="0"/>
      <w:sz w:val="24"/>
    </w:rPr>
  </w:style>
  <w:style w:type="paragraph" w:customStyle="1" w:styleId="FormTitle">
    <w:name w:val="Form Title"/>
    <w:basedOn w:val="FigureTitle"/>
    <w:next w:val="BodyText"/>
    <w:qFormat/>
    <w:rsid w:val="00554D0D"/>
  </w:style>
  <w:style w:type="paragraph" w:customStyle="1" w:styleId="Appendix2">
    <w:name w:val="Appendix 2"/>
    <w:basedOn w:val="Normal"/>
    <w:link w:val="Appendix2Char"/>
    <w:qFormat/>
    <w:rsid w:val="00BB2031"/>
    <w:pPr>
      <w:spacing w:before="240"/>
      <w:ind w:left="1368" w:hanging="288"/>
    </w:pPr>
    <w:rPr>
      <w:rFonts w:ascii="Arial" w:hAnsi="Arial" w:cs="Arial"/>
      <w:b/>
      <w:sz w:val="24"/>
    </w:rPr>
  </w:style>
  <w:style w:type="paragraph" w:customStyle="1" w:styleId="Appendix2Text">
    <w:name w:val="Appendix 2 Text"/>
    <w:basedOn w:val="BodyText"/>
    <w:link w:val="Appendix2TextChar"/>
    <w:qFormat/>
    <w:rsid w:val="007A4FC8"/>
    <w:pPr>
      <w:ind w:left="1440"/>
    </w:pPr>
  </w:style>
  <w:style w:type="character" w:customStyle="1" w:styleId="Appendix2Char">
    <w:name w:val="Appendix 2 Char"/>
    <w:basedOn w:val="DefaultParagraphFont"/>
    <w:link w:val="Appendix2"/>
    <w:rsid w:val="00BB2031"/>
    <w:rPr>
      <w:rFonts w:ascii="Arial" w:hAnsi="Arial" w:cs="Arial"/>
      <w:b/>
      <w:sz w:val="24"/>
      <w:szCs w:val="24"/>
    </w:rPr>
  </w:style>
  <w:style w:type="paragraph" w:customStyle="1" w:styleId="Appendix1">
    <w:name w:val="Appendix 1"/>
    <w:basedOn w:val="ListParagraph"/>
    <w:link w:val="Appendix1Char"/>
    <w:qFormat/>
    <w:rsid w:val="00BB2031"/>
    <w:pPr>
      <w:numPr>
        <w:numId w:val="53"/>
      </w:numPr>
      <w:spacing w:before="240"/>
    </w:pPr>
    <w:rPr>
      <w:rFonts w:ascii="Arial" w:hAnsi="Arial" w:cs="Arial"/>
      <w:b/>
      <w:sz w:val="24"/>
    </w:rPr>
  </w:style>
  <w:style w:type="character" w:customStyle="1" w:styleId="BodyTextChar">
    <w:name w:val="BodyText Char"/>
    <w:basedOn w:val="DefaultParagraphFont"/>
    <w:link w:val="BodyText"/>
    <w:rsid w:val="00422AD3"/>
    <w:rPr>
      <w:rFonts w:ascii="Arial" w:hAnsi="Arial"/>
      <w:sz w:val="24"/>
      <w:szCs w:val="24"/>
    </w:rPr>
  </w:style>
  <w:style w:type="character" w:customStyle="1" w:styleId="Appendix2TextChar">
    <w:name w:val="Appendix 2 Text Char"/>
    <w:basedOn w:val="BodyTextChar"/>
    <w:link w:val="Appendix2Text"/>
    <w:rsid w:val="007A4FC8"/>
  </w:style>
  <w:style w:type="paragraph" w:customStyle="1" w:styleId="Appendix1text">
    <w:name w:val="Appendix 1 text"/>
    <w:basedOn w:val="BodyText"/>
    <w:link w:val="Appendix1textChar"/>
    <w:qFormat/>
    <w:rsid w:val="007A4FC8"/>
    <w:pPr>
      <w:ind w:left="1080"/>
    </w:pPr>
  </w:style>
  <w:style w:type="character" w:customStyle="1" w:styleId="ListParagraphChar">
    <w:name w:val="List Paragraph Char"/>
    <w:basedOn w:val="DefaultParagraphFont"/>
    <w:link w:val="ListParagraph"/>
    <w:uiPriority w:val="34"/>
    <w:rsid w:val="00422AD3"/>
    <w:rPr>
      <w:sz w:val="22"/>
      <w:szCs w:val="24"/>
    </w:rPr>
  </w:style>
  <w:style w:type="character" w:customStyle="1" w:styleId="Appendix1Char">
    <w:name w:val="Appendix 1 Char"/>
    <w:basedOn w:val="ListParagraphChar"/>
    <w:link w:val="Appendix1"/>
    <w:rsid w:val="00422AD3"/>
    <w:rPr>
      <w:rFonts w:ascii="Arial" w:hAnsi="Arial" w:cs="Arial"/>
      <w:b/>
      <w:sz w:val="24"/>
    </w:rPr>
  </w:style>
  <w:style w:type="character" w:customStyle="1" w:styleId="Appendix1textChar">
    <w:name w:val="Appendix 1 text Char"/>
    <w:basedOn w:val="BodyTextChar"/>
    <w:link w:val="Appendix1text"/>
    <w:rsid w:val="007A4FC8"/>
  </w:style>
  <w:style w:type="paragraph" w:customStyle="1" w:styleId="LowRiskFormItems">
    <w:name w:val="Low Risk Form Items"/>
    <w:basedOn w:val="ListParagraph"/>
    <w:qFormat/>
    <w:rsid w:val="00927053"/>
    <w:pPr>
      <w:numPr>
        <w:numId w:val="38"/>
      </w:numPr>
      <w:spacing w:after="200" w:line="276" w:lineRule="auto"/>
    </w:pPr>
    <w:rPr>
      <w:rFonts w:ascii="Arial" w:hAnsi="Arial" w:cs="Arial"/>
      <w:b/>
      <w:bCs/>
      <w:sz w:val="24"/>
    </w:rPr>
  </w:style>
  <w:style w:type="character" w:customStyle="1" w:styleId="HeaderChar">
    <w:name w:val="Header Char"/>
    <w:basedOn w:val="DefaultParagraphFont"/>
    <w:link w:val="Header"/>
    <w:uiPriority w:val="99"/>
    <w:rsid w:val="00B71204"/>
    <w:rPr>
      <w:rFonts w:ascii="Arial" w:hAnsi="Arial"/>
      <w:szCs w:val="24"/>
    </w:rPr>
  </w:style>
  <w:style w:type="character" w:customStyle="1" w:styleId="FooterChar">
    <w:name w:val="Footer Char"/>
    <w:basedOn w:val="DefaultParagraphFont"/>
    <w:link w:val="Footer"/>
    <w:uiPriority w:val="99"/>
    <w:rsid w:val="007B027B"/>
    <w:rPr>
      <w:sz w:val="22"/>
      <w:szCs w:val="24"/>
    </w:rPr>
  </w:style>
  <w:style w:type="character" w:styleId="PlaceholderText">
    <w:name w:val="Placeholder Text"/>
    <w:basedOn w:val="DefaultParagraphFont"/>
    <w:uiPriority w:val="99"/>
    <w:semiHidden/>
    <w:rsid w:val="006A4778"/>
    <w:rPr>
      <w:color w:val="808080"/>
    </w:rPr>
  </w:style>
</w:styles>
</file>

<file path=word/webSettings.xml><?xml version="1.0" encoding="utf-8"?>
<w:webSettings xmlns:r="http://schemas.openxmlformats.org/officeDocument/2006/relationships" xmlns:w="http://schemas.openxmlformats.org/wordprocessingml/2006/main">
  <w:divs>
    <w:div w:id="536310541">
      <w:bodyDiv w:val="1"/>
      <w:marLeft w:val="0"/>
      <w:marRight w:val="0"/>
      <w:marTop w:val="0"/>
      <w:marBottom w:val="0"/>
      <w:divBdr>
        <w:top w:val="none" w:sz="0" w:space="0" w:color="auto"/>
        <w:left w:val="none" w:sz="0" w:space="0" w:color="auto"/>
        <w:bottom w:val="none" w:sz="0" w:space="0" w:color="auto"/>
        <w:right w:val="none" w:sz="0" w:space="0" w:color="auto"/>
      </w:divBdr>
    </w:div>
    <w:div w:id="753473957">
      <w:bodyDiv w:val="1"/>
      <w:marLeft w:val="0"/>
      <w:marRight w:val="0"/>
      <w:marTop w:val="0"/>
      <w:marBottom w:val="0"/>
      <w:divBdr>
        <w:top w:val="none" w:sz="0" w:space="0" w:color="auto"/>
        <w:left w:val="none" w:sz="0" w:space="0" w:color="auto"/>
        <w:bottom w:val="none" w:sz="0" w:space="0" w:color="auto"/>
        <w:right w:val="none" w:sz="0" w:space="0" w:color="auto"/>
      </w:divBdr>
    </w:div>
    <w:div w:id="908541513">
      <w:bodyDiv w:val="1"/>
      <w:marLeft w:val="0"/>
      <w:marRight w:val="0"/>
      <w:marTop w:val="0"/>
      <w:marBottom w:val="0"/>
      <w:divBdr>
        <w:top w:val="none" w:sz="0" w:space="0" w:color="auto"/>
        <w:left w:val="none" w:sz="0" w:space="0" w:color="auto"/>
        <w:bottom w:val="none" w:sz="0" w:space="0" w:color="auto"/>
        <w:right w:val="none" w:sz="0" w:space="0" w:color="auto"/>
      </w:divBdr>
    </w:div>
    <w:div w:id="1580629677">
      <w:bodyDiv w:val="1"/>
      <w:marLeft w:val="0"/>
      <w:marRight w:val="0"/>
      <w:marTop w:val="0"/>
      <w:marBottom w:val="0"/>
      <w:divBdr>
        <w:top w:val="none" w:sz="0" w:space="0" w:color="auto"/>
        <w:left w:val="none" w:sz="0" w:space="0" w:color="auto"/>
        <w:bottom w:val="none" w:sz="0" w:space="0" w:color="auto"/>
        <w:right w:val="none" w:sz="0" w:space="0" w:color="auto"/>
      </w:divBdr>
    </w:div>
    <w:div w:id="1605653840">
      <w:bodyDiv w:val="1"/>
      <w:marLeft w:val="0"/>
      <w:marRight w:val="0"/>
      <w:marTop w:val="0"/>
      <w:marBottom w:val="0"/>
      <w:divBdr>
        <w:top w:val="none" w:sz="0" w:space="0" w:color="auto"/>
        <w:left w:val="none" w:sz="0" w:space="0" w:color="auto"/>
        <w:bottom w:val="none" w:sz="0" w:space="0" w:color="auto"/>
        <w:right w:val="none" w:sz="0" w:space="0" w:color="auto"/>
      </w:divBdr>
    </w:div>
    <w:div w:id="1737043815">
      <w:bodyDiv w:val="1"/>
      <w:marLeft w:val="0"/>
      <w:marRight w:val="0"/>
      <w:marTop w:val="0"/>
      <w:marBottom w:val="0"/>
      <w:divBdr>
        <w:top w:val="none" w:sz="0" w:space="0" w:color="auto"/>
        <w:left w:val="none" w:sz="0" w:space="0" w:color="auto"/>
        <w:bottom w:val="none" w:sz="0" w:space="0" w:color="auto"/>
        <w:right w:val="none" w:sz="0" w:space="0" w:color="auto"/>
      </w:divBdr>
    </w:div>
    <w:div w:id="188051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14D9D-3988-432F-942E-192AEBCF4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2212</Words>
  <Characters>12611</Characters>
  <Application>Microsoft Office Word</Application>
  <DocSecurity>8</DocSecurity>
  <Lines>105</Lines>
  <Paragraphs>29</Paragraphs>
  <ScaleCrop>false</ScaleCrop>
  <HeadingPairs>
    <vt:vector size="2" baseType="variant">
      <vt:variant>
        <vt:lpstr>Title</vt:lpstr>
      </vt:variant>
      <vt:variant>
        <vt:i4>1</vt:i4>
      </vt:variant>
    </vt:vector>
  </HeadingPairs>
  <TitlesOfParts>
    <vt:vector size="1" baseType="lpstr">
      <vt:lpstr>Standard Report Template</vt:lpstr>
    </vt:vector>
  </TitlesOfParts>
  <Company>Earth Tech</Company>
  <LinksUpToDate>false</LinksUpToDate>
  <CharactersWithSpaces>14794</CharactersWithSpaces>
  <SharedDoc>false</SharedDoc>
  <HLinks>
    <vt:vector size="1986" baseType="variant">
      <vt:variant>
        <vt:i4>2490392</vt:i4>
      </vt:variant>
      <vt:variant>
        <vt:i4>1962</vt:i4>
      </vt:variant>
      <vt:variant>
        <vt:i4>0</vt:i4>
      </vt:variant>
      <vt:variant>
        <vt:i4>5</vt:i4>
      </vt:variant>
      <vt:variant>
        <vt:lpwstr>http://www.tdot.state.tn.us/Chief_Engineer/assistant_engineer_design/design/survey.htm</vt:lpwstr>
      </vt:variant>
      <vt:variant>
        <vt:lpwstr/>
      </vt:variant>
      <vt:variant>
        <vt:i4>7864326</vt:i4>
      </vt:variant>
      <vt:variant>
        <vt:i4>1959</vt:i4>
      </vt:variant>
      <vt:variant>
        <vt:i4>0</vt:i4>
      </vt:variant>
      <vt:variant>
        <vt:i4>5</vt:i4>
      </vt:variant>
      <vt:variant>
        <vt:lpwstr>http://www.tdot.state.tn.us/Chief_Engineer/assistant_engineer_design/design/tgrn/tgrn.</vt:lpwstr>
      </vt:variant>
      <vt:variant>
        <vt:lpwstr/>
      </vt:variant>
      <vt:variant>
        <vt:i4>3997773</vt:i4>
      </vt:variant>
      <vt:variant>
        <vt:i4>1956</vt:i4>
      </vt:variant>
      <vt:variant>
        <vt:i4>0</vt:i4>
      </vt:variant>
      <vt:variant>
        <vt:i4>5</vt:i4>
      </vt:variant>
      <vt:variant>
        <vt:lpwstr>http://www.tdot.state.tn.us/Chief_Engineer/assistant_engineer_design/design/v8/V8design.htm</vt:lpwstr>
      </vt:variant>
      <vt:variant>
        <vt:lpwstr/>
      </vt:variant>
      <vt:variant>
        <vt:i4>5242965</vt:i4>
      </vt:variant>
      <vt:variant>
        <vt:i4>1953</vt:i4>
      </vt:variant>
      <vt:variant>
        <vt:i4>0</vt:i4>
      </vt:variant>
      <vt:variant>
        <vt:i4>5</vt:i4>
      </vt:variant>
      <vt:variant>
        <vt:lpwstr>http://www.tdot.state.tn.us/Chief_Engineer/engr_library/design/Std_Drwg_Eng.htm</vt:lpwstr>
      </vt:variant>
      <vt:variant>
        <vt:lpwstr/>
      </vt:variant>
      <vt:variant>
        <vt:i4>5242965</vt:i4>
      </vt:variant>
      <vt:variant>
        <vt:i4>1950</vt:i4>
      </vt:variant>
      <vt:variant>
        <vt:i4>0</vt:i4>
      </vt:variant>
      <vt:variant>
        <vt:i4>5</vt:i4>
      </vt:variant>
      <vt:variant>
        <vt:lpwstr>http://www.tdot.state.tn.us/Chief_Engineer/engr_library/design/Std_Drwg_Eng.htm</vt:lpwstr>
      </vt:variant>
      <vt:variant>
        <vt:lpwstr/>
      </vt:variant>
      <vt:variant>
        <vt:i4>2359357</vt:i4>
      </vt:variant>
      <vt:variant>
        <vt:i4>1947</vt:i4>
      </vt:variant>
      <vt:variant>
        <vt:i4>0</vt:i4>
      </vt:variant>
      <vt:variant>
        <vt:i4>5</vt:i4>
      </vt:variant>
      <vt:variant>
        <vt:lpwstr>http://www.tdot.state.tn.us/Chief_Engineer/assistant_engineer_design/design/Des_Resources.htm</vt:lpwstr>
      </vt:variant>
      <vt:variant>
        <vt:lpwstr/>
      </vt:variant>
      <vt:variant>
        <vt:i4>2490392</vt:i4>
      </vt:variant>
      <vt:variant>
        <vt:i4>1944</vt:i4>
      </vt:variant>
      <vt:variant>
        <vt:i4>0</vt:i4>
      </vt:variant>
      <vt:variant>
        <vt:i4>5</vt:i4>
      </vt:variant>
      <vt:variant>
        <vt:lpwstr>http://www.tdot.state.tn.us/Chief_Engineer/assistant_engineer_design/design/survey.htm</vt:lpwstr>
      </vt:variant>
      <vt:variant>
        <vt:lpwstr/>
      </vt:variant>
      <vt:variant>
        <vt:i4>2490392</vt:i4>
      </vt:variant>
      <vt:variant>
        <vt:i4>1941</vt:i4>
      </vt:variant>
      <vt:variant>
        <vt:i4>0</vt:i4>
      </vt:variant>
      <vt:variant>
        <vt:i4>5</vt:i4>
      </vt:variant>
      <vt:variant>
        <vt:lpwstr>http://www.tdot.state.tn.us/Chief_Engineer/assistant_engineer_design/design/survey.htm</vt:lpwstr>
      </vt:variant>
      <vt:variant>
        <vt:lpwstr/>
      </vt:variant>
      <vt:variant>
        <vt:i4>2490392</vt:i4>
      </vt:variant>
      <vt:variant>
        <vt:i4>1938</vt:i4>
      </vt:variant>
      <vt:variant>
        <vt:i4>0</vt:i4>
      </vt:variant>
      <vt:variant>
        <vt:i4>5</vt:i4>
      </vt:variant>
      <vt:variant>
        <vt:lpwstr>http://www.tdot.state.tn.us/Chief_Engineer/assistant_engineer_design/design/survey.htm</vt:lpwstr>
      </vt:variant>
      <vt:variant>
        <vt:lpwstr/>
      </vt:variant>
      <vt:variant>
        <vt:i4>3997773</vt:i4>
      </vt:variant>
      <vt:variant>
        <vt:i4>1935</vt:i4>
      </vt:variant>
      <vt:variant>
        <vt:i4>0</vt:i4>
      </vt:variant>
      <vt:variant>
        <vt:i4>5</vt:i4>
      </vt:variant>
      <vt:variant>
        <vt:lpwstr>http://www.tdot.state.tn.us/Chief_Engineer/assistant_engineer_design/design/v8/V8design.htm</vt:lpwstr>
      </vt:variant>
      <vt:variant>
        <vt:lpwstr/>
      </vt:variant>
      <vt:variant>
        <vt:i4>1179708</vt:i4>
      </vt:variant>
      <vt:variant>
        <vt:i4>1928</vt:i4>
      </vt:variant>
      <vt:variant>
        <vt:i4>0</vt:i4>
      </vt:variant>
      <vt:variant>
        <vt:i4>5</vt:i4>
      </vt:variant>
      <vt:variant>
        <vt:lpwstr/>
      </vt:variant>
      <vt:variant>
        <vt:lpwstr>_Toc239667177</vt:lpwstr>
      </vt:variant>
      <vt:variant>
        <vt:i4>1179708</vt:i4>
      </vt:variant>
      <vt:variant>
        <vt:i4>1922</vt:i4>
      </vt:variant>
      <vt:variant>
        <vt:i4>0</vt:i4>
      </vt:variant>
      <vt:variant>
        <vt:i4>5</vt:i4>
      </vt:variant>
      <vt:variant>
        <vt:lpwstr/>
      </vt:variant>
      <vt:variant>
        <vt:lpwstr>_Toc239667176</vt:lpwstr>
      </vt:variant>
      <vt:variant>
        <vt:i4>1179708</vt:i4>
      </vt:variant>
      <vt:variant>
        <vt:i4>1916</vt:i4>
      </vt:variant>
      <vt:variant>
        <vt:i4>0</vt:i4>
      </vt:variant>
      <vt:variant>
        <vt:i4>5</vt:i4>
      </vt:variant>
      <vt:variant>
        <vt:lpwstr/>
      </vt:variant>
      <vt:variant>
        <vt:lpwstr>_Toc239667175</vt:lpwstr>
      </vt:variant>
      <vt:variant>
        <vt:i4>1179708</vt:i4>
      </vt:variant>
      <vt:variant>
        <vt:i4>1910</vt:i4>
      </vt:variant>
      <vt:variant>
        <vt:i4>0</vt:i4>
      </vt:variant>
      <vt:variant>
        <vt:i4>5</vt:i4>
      </vt:variant>
      <vt:variant>
        <vt:lpwstr/>
      </vt:variant>
      <vt:variant>
        <vt:lpwstr>_Toc239667174</vt:lpwstr>
      </vt:variant>
      <vt:variant>
        <vt:i4>1179708</vt:i4>
      </vt:variant>
      <vt:variant>
        <vt:i4>1904</vt:i4>
      </vt:variant>
      <vt:variant>
        <vt:i4>0</vt:i4>
      </vt:variant>
      <vt:variant>
        <vt:i4>5</vt:i4>
      </vt:variant>
      <vt:variant>
        <vt:lpwstr/>
      </vt:variant>
      <vt:variant>
        <vt:lpwstr>_Toc239667173</vt:lpwstr>
      </vt:variant>
      <vt:variant>
        <vt:i4>1179708</vt:i4>
      </vt:variant>
      <vt:variant>
        <vt:i4>1898</vt:i4>
      </vt:variant>
      <vt:variant>
        <vt:i4>0</vt:i4>
      </vt:variant>
      <vt:variant>
        <vt:i4>5</vt:i4>
      </vt:variant>
      <vt:variant>
        <vt:lpwstr/>
      </vt:variant>
      <vt:variant>
        <vt:lpwstr>_Toc239667172</vt:lpwstr>
      </vt:variant>
      <vt:variant>
        <vt:i4>1179708</vt:i4>
      </vt:variant>
      <vt:variant>
        <vt:i4>1892</vt:i4>
      </vt:variant>
      <vt:variant>
        <vt:i4>0</vt:i4>
      </vt:variant>
      <vt:variant>
        <vt:i4>5</vt:i4>
      </vt:variant>
      <vt:variant>
        <vt:lpwstr/>
      </vt:variant>
      <vt:variant>
        <vt:lpwstr>_Toc239667171</vt:lpwstr>
      </vt:variant>
      <vt:variant>
        <vt:i4>1179708</vt:i4>
      </vt:variant>
      <vt:variant>
        <vt:i4>1886</vt:i4>
      </vt:variant>
      <vt:variant>
        <vt:i4>0</vt:i4>
      </vt:variant>
      <vt:variant>
        <vt:i4>5</vt:i4>
      </vt:variant>
      <vt:variant>
        <vt:lpwstr/>
      </vt:variant>
      <vt:variant>
        <vt:lpwstr>_Toc239667170</vt:lpwstr>
      </vt:variant>
      <vt:variant>
        <vt:i4>1245244</vt:i4>
      </vt:variant>
      <vt:variant>
        <vt:i4>1880</vt:i4>
      </vt:variant>
      <vt:variant>
        <vt:i4>0</vt:i4>
      </vt:variant>
      <vt:variant>
        <vt:i4>5</vt:i4>
      </vt:variant>
      <vt:variant>
        <vt:lpwstr/>
      </vt:variant>
      <vt:variant>
        <vt:lpwstr>_Toc239667169</vt:lpwstr>
      </vt:variant>
      <vt:variant>
        <vt:i4>1179699</vt:i4>
      </vt:variant>
      <vt:variant>
        <vt:i4>1871</vt:i4>
      </vt:variant>
      <vt:variant>
        <vt:i4>0</vt:i4>
      </vt:variant>
      <vt:variant>
        <vt:i4>5</vt:i4>
      </vt:variant>
      <vt:variant>
        <vt:lpwstr/>
      </vt:variant>
      <vt:variant>
        <vt:lpwstr>_Toc235847092</vt:lpwstr>
      </vt:variant>
      <vt:variant>
        <vt:i4>1179699</vt:i4>
      </vt:variant>
      <vt:variant>
        <vt:i4>1865</vt:i4>
      </vt:variant>
      <vt:variant>
        <vt:i4>0</vt:i4>
      </vt:variant>
      <vt:variant>
        <vt:i4>5</vt:i4>
      </vt:variant>
      <vt:variant>
        <vt:lpwstr/>
      </vt:variant>
      <vt:variant>
        <vt:lpwstr>_Toc235847091</vt:lpwstr>
      </vt:variant>
      <vt:variant>
        <vt:i4>1179699</vt:i4>
      </vt:variant>
      <vt:variant>
        <vt:i4>1859</vt:i4>
      </vt:variant>
      <vt:variant>
        <vt:i4>0</vt:i4>
      </vt:variant>
      <vt:variant>
        <vt:i4>5</vt:i4>
      </vt:variant>
      <vt:variant>
        <vt:lpwstr/>
      </vt:variant>
      <vt:variant>
        <vt:lpwstr>_Toc235847090</vt:lpwstr>
      </vt:variant>
      <vt:variant>
        <vt:i4>1245235</vt:i4>
      </vt:variant>
      <vt:variant>
        <vt:i4>1853</vt:i4>
      </vt:variant>
      <vt:variant>
        <vt:i4>0</vt:i4>
      </vt:variant>
      <vt:variant>
        <vt:i4>5</vt:i4>
      </vt:variant>
      <vt:variant>
        <vt:lpwstr/>
      </vt:variant>
      <vt:variant>
        <vt:lpwstr>_Toc235847089</vt:lpwstr>
      </vt:variant>
      <vt:variant>
        <vt:i4>1245235</vt:i4>
      </vt:variant>
      <vt:variant>
        <vt:i4>1847</vt:i4>
      </vt:variant>
      <vt:variant>
        <vt:i4>0</vt:i4>
      </vt:variant>
      <vt:variant>
        <vt:i4>5</vt:i4>
      </vt:variant>
      <vt:variant>
        <vt:lpwstr/>
      </vt:variant>
      <vt:variant>
        <vt:lpwstr>_Toc235847088</vt:lpwstr>
      </vt:variant>
      <vt:variant>
        <vt:i4>1245235</vt:i4>
      </vt:variant>
      <vt:variant>
        <vt:i4>1841</vt:i4>
      </vt:variant>
      <vt:variant>
        <vt:i4>0</vt:i4>
      </vt:variant>
      <vt:variant>
        <vt:i4>5</vt:i4>
      </vt:variant>
      <vt:variant>
        <vt:lpwstr/>
      </vt:variant>
      <vt:variant>
        <vt:lpwstr>_Toc235847087</vt:lpwstr>
      </vt:variant>
      <vt:variant>
        <vt:i4>1245235</vt:i4>
      </vt:variant>
      <vt:variant>
        <vt:i4>1835</vt:i4>
      </vt:variant>
      <vt:variant>
        <vt:i4>0</vt:i4>
      </vt:variant>
      <vt:variant>
        <vt:i4>5</vt:i4>
      </vt:variant>
      <vt:variant>
        <vt:lpwstr/>
      </vt:variant>
      <vt:variant>
        <vt:lpwstr>_Toc235847086</vt:lpwstr>
      </vt:variant>
      <vt:variant>
        <vt:i4>1245235</vt:i4>
      </vt:variant>
      <vt:variant>
        <vt:i4>1829</vt:i4>
      </vt:variant>
      <vt:variant>
        <vt:i4>0</vt:i4>
      </vt:variant>
      <vt:variant>
        <vt:i4>5</vt:i4>
      </vt:variant>
      <vt:variant>
        <vt:lpwstr/>
      </vt:variant>
      <vt:variant>
        <vt:lpwstr>_Toc235847085</vt:lpwstr>
      </vt:variant>
      <vt:variant>
        <vt:i4>1245235</vt:i4>
      </vt:variant>
      <vt:variant>
        <vt:i4>1823</vt:i4>
      </vt:variant>
      <vt:variant>
        <vt:i4>0</vt:i4>
      </vt:variant>
      <vt:variant>
        <vt:i4>5</vt:i4>
      </vt:variant>
      <vt:variant>
        <vt:lpwstr/>
      </vt:variant>
      <vt:variant>
        <vt:lpwstr>_Toc235847084</vt:lpwstr>
      </vt:variant>
      <vt:variant>
        <vt:i4>1245235</vt:i4>
      </vt:variant>
      <vt:variant>
        <vt:i4>1817</vt:i4>
      </vt:variant>
      <vt:variant>
        <vt:i4>0</vt:i4>
      </vt:variant>
      <vt:variant>
        <vt:i4>5</vt:i4>
      </vt:variant>
      <vt:variant>
        <vt:lpwstr/>
      </vt:variant>
      <vt:variant>
        <vt:lpwstr>_Toc235847083</vt:lpwstr>
      </vt:variant>
      <vt:variant>
        <vt:i4>1245235</vt:i4>
      </vt:variant>
      <vt:variant>
        <vt:i4>1811</vt:i4>
      </vt:variant>
      <vt:variant>
        <vt:i4>0</vt:i4>
      </vt:variant>
      <vt:variant>
        <vt:i4>5</vt:i4>
      </vt:variant>
      <vt:variant>
        <vt:lpwstr/>
      </vt:variant>
      <vt:variant>
        <vt:lpwstr>_Toc235847082</vt:lpwstr>
      </vt:variant>
      <vt:variant>
        <vt:i4>1245235</vt:i4>
      </vt:variant>
      <vt:variant>
        <vt:i4>1805</vt:i4>
      </vt:variant>
      <vt:variant>
        <vt:i4>0</vt:i4>
      </vt:variant>
      <vt:variant>
        <vt:i4>5</vt:i4>
      </vt:variant>
      <vt:variant>
        <vt:lpwstr/>
      </vt:variant>
      <vt:variant>
        <vt:lpwstr>_Toc235847081</vt:lpwstr>
      </vt:variant>
      <vt:variant>
        <vt:i4>1245235</vt:i4>
      </vt:variant>
      <vt:variant>
        <vt:i4>1799</vt:i4>
      </vt:variant>
      <vt:variant>
        <vt:i4>0</vt:i4>
      </vt:variant>
      <vt:variant>
        <vt:i4>5</vt:i4>
      </vt:variant>
      <vt:variant>
        <vt:lpwstr/>
      </vt:variant>
      <vt:variant>
        <vt:lpwstr>_Toc235847080</vt:lpwstr>
      </vt:variant>
      <vt:variant>
        <vt:i4>1835059</vt:i4>
      </vt:variant>
      <vt:variant>
        <vt:i4>1793</vt:i4>
      </vt:variant>
      <vt:variant>
        <vt:i4>0</vt:i4>
      </vt:variant>
      <vt:variant>
        <vt:i4>5</vt:i4>
      </vt:variant>
      <vt:variant>
        <vt:lpwstr/>
      </vt:variant>
      <vt:variant>
        <vt:lpwstr>_Toc235847079</vt:lpwstr>
      </vt:variant>
      <vt:variant>
        <vt:i4>1835059</vt:i4>
      </vt:variant>
      <vt:variant>
        <vt:i4>1787</vt:i4>
      </vt:variant>
      <vt:variant>
        <vt:i4>0</vt:i4>
      </vt:variant>
      <vt:variant>
        <vt:i4>5</vt:i4>
      </vt:variant>
      <vt:variant>
        <vt:lpwstr/>
      </vt:variant>
      <vt:variant>
        <vt:lpwstr>_Toc235847078</vt:lpwstr>
      </vt:variant>
      <vt:variant>
        <vt:i4>1835059</vt:i4>
      </vt:variant>
      <vt:variant>
        <vt:i4>1781</vt:i4>
      </vt:variant>
      <vt:variant>
        <vt:i4>0</vt:i4>
      </vt:variant>
      <vt:variant>
        <vt:i4>5</vt:i4>
      </vt:variant>
      <vt:variant>
        <vt:lpwstr/>
      </vt:variant>
      <vt:variant>
        <vt:lpwstr>_Toc235847077</vt:lpwstr>
      </vt:variant>
      <vt:variant>
        <vt:i4>1835059</vt:i4>
      </vt:variant>
      <vt:variant>
        <vt:i4>1775</vt:i4>
      </vt:variant>
      <vt:variant>
        <vt:i4>0</vt:i4>
      </vt:variant>
      <vt:variant>
        <vt:i4>5</vt:i4>
      </vt:variant>
      <vt:variant>
        <vt:lpwstr/>
      </vt:variant>
      <vt:variant>
        <vt:lpwstr>_Toc235847076</vt:lpwstr>
      </vt:variant>
      <vt:variant>
        <vt:i4>1835059</vt:i4>
      </vt:variant>
      <vt:variant>
        <vt:i4>1769</vt:i4>
      </vt:variant>
      <vt:variant>
        <vt:i4>0</vt:i4>
      </vt:variant>
      <vt:variant>
        <vt:i4>5</vt:i4>
      </vt:variant>
      <vt:variant>
        <vt:lpwstr/>
      </vt:variant>
      <vt:variant>
        <vt:lpwstr>_Toc235847075</vt:lpwstr>
      </vt:variant>
      <vt:variant>
        <vt:i4>1835059</vt:i4>
      </vt:variant>
      <vt:variant>
        <vt:i4>1763</vt:i4>
      </vt:variant>
      <vt:variant>
        <vt:i4>0</vt:i4>
      </vt:variant>
      <vt:variant>
        <vt:i4>5</vt:i4>
      </vt:variant>
      <vt:variant>
        <vt:lpwstr/>
      </vt:variant>
      <vt:variant>
        <vt:lpwstr>_Toc235847074</vt:lpwstr>
      </vt:variant>
      <vt:variant>
        <vt:i4>1835059</vt:i4>
      </vt:variant>
      <vt:variant>
        <vt:i4>1757</vt:i4>
      </vt:variant>
      <vt:variant>
        <vt:i4>0</vt:i4>
      </vt:variant>
      <vt:variant>
        <vt:i4>5</vt:i4>
      </vt:variant>
      <vt:variant>
        <vt:lpwstr/>
      </vt:variant>
      <vt:variant>
        <vt:lpwstr>_Toc235847073</vt:lpwstr>
      </vt:variant>
      <vt:variant>
        <vt:i4>1835059</vt:i4>
      </vt:variant>
      <vt:variant>
        <vt:i4>1751</vt:i4>
      </vt:variant>
      <vt:variant>
        <vt:i4>0</vt:i4>
      </vt:variant>
      <vt:variant>
        <vt:i4>5</vt:i4>
      </vt:variant>
      <vt:variant>
        <vt:lpwstr/>
      </vt:variant>
      <vt:variant>
        <vt:lpwstr>_Toc235847072</vt:lpwstr>
      </vt:variant>
      <vt:variant>
        <vt:i4>1835059</vt:i4>
      </vt:variant>
      <vt:variant>
        <vt:i4>1745</vt:i4>
      </vt:variant>
      <vt:variant>
        <vt:i4>0</vt:i4>
      </vt:variant>
      <vt:variant>
        <vt:i4>5</vt:i4>
      </vt:variant>
      <vt:variant>
        <vt:lpwstr/>
      </vt:variant>
      <vt:variant>
        <vt:lpwstr>_Toc235847071</vt:lpwstr>
      </vt:variant>
      <vt:variant>
        <vt:i4>1835059</vt:i4>
      </vt:variant>
      <vt:variant>
        <vt:i4>1739</vt:i4>
      </vt:variant>
      <vt:variant>
        <vt:i4>0</vt:i4>
      </vt:variant>
      <vt:variant>
        <vt:i4>5</vt:i4>
      </vt:variant>
      <vt:variant>
        <vt:lpwstr/>
      </vt:variant>
      <vt:variant>
        <vt:lpwstr>_Toc235847070</vt:lpwstr>
      </vt:variant>
      <vt:variant>
        <vt:i4>1900595</vt:i4>
      </vt:variant>
      <vt:variant>
        <vt:i4>1733</vt:i4>
      </vt:variant>
      <vt:variant>
        <vt:i4>0</vt:i4>
      </vt:variant>
      <vt:variant>
        <vt:i4>5</vt:i4>
      </vt:variant>
      <vt:variant>
        <vt:lpwstr/>
      </vt:variant>
      <vt:variant>
        <vt:lpwstr>_Toc235847069</vt:lpwstr>
      </vt:variant>
      <vt:variant>
        <vt:i4>1900595</vt:i4>
      </vt:variant>
      <vt:variant>
        <vt:i4>1727</vt:i4>
      </vt:variant>
      <vt:variant>
        <vt:i4>0</vt:i4>
      </vt:variant>
      <vt:variant>
        <vt:i4>5</vt:i4>
      </vt:variant>
      <vt:variant>
        <vt:lpwstr/>
      </vt:variant>
      <vt:variant>
        <vt:lpwstr>_Toc235847068</vt:lpwstr>
      </vt:variant>
      <vt:variant>
        <vt:i4>1900595</vt:i4>
      </vt:variant>
      <vt:variant>
        <vt:i4>1721</vt:i4>
      </vt:variant>
      <vt:variant>
        <vt:i4>0</vt:i4>
      </vt:variant>
      <vt:variant>
        <vt:i4>5</vt:i4>
      </vt:variant>
      <vt:variant>
        <vt:lpwstr/>
      </vt:variant>
      <vt:variant>
        <vt:lpwstr>_Toc235847067</vt:lpwstr>
      </vt:variant>
      <vt:variant>
        <vt:i4>1900595</vt:i4>
      </vt:variant>
      <vt:variant>
        <vt:i4>1715</vt:i4>
      </vt:variant>
      <vt:variant>
        <vt:i4>0</vt:i4>
      </vt:variant>
      <vt:variant>
        <vt:i4>5</vt:i4>
      </vt:variant>
      <vt:variant>
        <vt:lpwstr/>
      </vt:variant>
      <vt:variant>
        <vt:lpwstr>_Toc235847066</vt:lpwstr>
      </vt:variant>
      <vt:variant>
        <vt:i4>1900595</vt:i4>
      </vt:variant>
      <vt:variant>
        <vt:i4>1709</vt:i4>
      </vt:variant>
      <vt:variant>
        <vt:i4>0</vt:i4>
      </vt:variant>
      <vt:variant>
        <vt:i4>5</vt:i4>
      </vt:variant>
      <vt:variant>
        <vt:lpwstr/>
      </vt:variant>
      <vt:variant>
        <vt:lpwstr>_Toc235847065</vt:lpwstr>
      </vt:variant>
      <vt:variant>
        <vt:i4>1900595</vt:i4>
      </vt:variant>
      <vt:variant>
        <vt:i4>1703</vt:i4>
      </vt:variant>
      <vt:variant>
        <vt:i4>0</vt:i4>
      </vt:variant>
      <vt:variant>
        <vt:i4>5</vt:i4>
      </vt:variant>
      <vt:variant>
        <vt:lpwstr/>
      </vt:variant>
      <vt:variant>
        <vt:lpwstr>_Toc235847064</vt:lpwstr>
      </vt:variant>
      <vt:variant>
        <vt:i4>1900595</vt:i4>
      </vt:variant>
      <vt:variant>
        <vt:i4>1697</vt:i4>
      </vt:variant>
      <vt:variant>
        <vt:i4>0</vt:i4>
      </vt:variant>
      <vt:variant>
        <vt:i4>5</vt:i4>
      </vt:variant>
      <vt:variant>
        <vt:lpwstr/>
      </vt:variant>
      <vt:variant>
        <vt:lpwstr>_Toc235847063</vt:lpwstr>
      </vt:variant>
      <vt:variant>
        <vt:i4>1900595</vt:i4>
      </vt:variant>
      <vt:variant>
        <vt:i4>1691</vt:i4>
      </vt:variant>
      <vt:variant>
        <vt:i4>0</vt:i4>
      </vt:variant>
      <vt:variant>
        <vt:i4>5</vt:i4>
      </vt:variant>
      <vt:variant>
        <vt:lpwstr/>
      </vt:variant>
      <vt:variant>
        <vt:lpwstr>_Toc235847062</vt:lpwstr>
      </vt:variant>
      <vt:variant>
        <vt:i4>1900595</vt:i4>
      </vt:variant>
      <vt:variant>
        <vt:i4>1685</vt:i4>
      </vt:variant>
      <vt:variant>
        <vt:i4>0</vt:i4>
      </vt:variant>
      <vt:variant>
        <vt:i4>5</vt:i4>
      </vt:variant>
      <vt:variant>
        <vt:lpwstr/>
      </vt:variant>
      <vt:variant>
        <vt:lpwstr>_Toc235847061</vt:lpwstr>
      </vt:variant>
      <vt:variant>
        <vt:i4>1900595</vt:i4>
      </vt:variant>
      <vt:variant>
        <vt:i4>1679</vt:i4>
      </vt:variant>
      <vt:variant>
        <vt:i4>0</vt:i4>
      </vt:variant>
      <vt:variant>
        <vt:i4>5</vt:i4>
      </vt:variant>
      <vt:variant>
        <vt:lpwstr/>
      </vt:variant>
      <vt:variant>
        <vt:lpwstr>_Toc235847060</vt:lpwstr>
      </vt:variant>
      <vt:variant>
        <vt:i4>1966131</vt:i4>
      </vt:variant>
      <vt:variant>
        <vt:i4>1673</vt:i4>
      </vt:variant>
      <vt:variant>
        <vt:i4>0</vt:i4>
      </vt:variant>
      <vt:variant>
        <vt:i4>5</vt:i4>
      </vt:variant>
      <vt:variant>
        <vt:lpwstr/>
      </vt:variant>
      <vt:variant>
        <vt:lpwstr>_Toc235847059</vt:lpwstr>
      </vt:variant>
      <vt:variant>
        <vt:i4>1900592</vt:i4>
      </vt:variant>
      <vt:variant>
        <vt:i4>1664</vt:i4>
      </vt:variant>
      <vt:variant>
        <vt:i4>0</vt:i4>
      </vt:variant>
      <vt:variant>
        <vt:i4>5</vt:i4>
      </vt:variant>
      <vt:variant>
        <vt:lpwstr/>
      </vt:variant>
      <vt:variant>
        <vt:lpwstr>_Toc240249655</vt:lpwstr>
      </vt:variant>
      <vt:variant>
        <vt:i4>1900592</vt:i4>
      </vt:variant>
      <vt:variant>
        <vt:i4>1658</vt:i4>
      </vt:variant>
      <vt:variant>
        <vt:i4>0</vt:i4>
      </vt:variant>
      <vt:variant>
        <vt:i4>5</vt:i4>
      </vt:variant>
      <vt:variant>
        <vt:lpwstr/>
      </vt:variant>
      <vt:variant>
        <vt:lpwstr>_Toc240249654</vt:lpwstr>
      </vt:variant>
      <vt:variant>
        <vt:i4>1900592</vt:i4>
      </vt:variant>
      <vt:variant>
        <vt:i4>1652</vt:i4>
      </vt:variant>
      <vt:variant>
        <vt:i4>0</vt:i4>
      </vt:variant>
      <vt:variant>
        <vt:i4>5</vt:i4>
      </vt:variant>
      <vt:variant>
        <vt:lpwstr/>
      </vt:variant>
      <vt:variant>
        <vt:lpwstr>_Toc240249653</vt:lpwstr>
      </vt:variant>
      <vt:variant>
        <vt:i4>1900592</vt:i4>
      </vt:variant>
      <vt:variant>
        <vt:i4>1646</vt:i4>
      </vt:variant>
      <vt:variant>
        <vt:i4>0</vt:i4>
      </vt:variant>
      <vt:variant>
        <vt:i4>5</vt:i4>
      </vt:variant>
      <vt:variant>
        <vt:lpwstr/>
      </vt:variant>
      <vt:variant>
        <vt:lpwstr>_Toc240249652</vt:lpwstr>
      </vt:variant>
      <vt:variant>
        <vt:i4>1900592</vt:i4>
      </vt:variant>
      <vt:variant>
        <vt:i4>1640</vt:i4>
      </vt:variant>
      <vt:variant>
        <vt:i4>0</vt:i4>
      </vt:variant>
      <vt:variant>
        <vt:i4>5</vt:i4>
      </vt:variant>
      <vt:variant>
        <vt:lpwstr/>
      </vt:variant>
      <vt:variant>
        <vt:lpwstr>_Toc240249651</vt:lpwstr>
      </vt:variant>
      <vt:variant>
        <vt:i4>1900592</vt:i4>
      </vt:variant>
      <vt:variant>
        <vt:i4>1634</vt:i4>
      </vt:variant>
      <vt:variant>
        <vt:i4>0</vt:i4>
      </vt:variant>
      <vt:variant>
        <vt:i4>5</vt:i4>
      </vt:variant>
      <vt:variant>
        <vt:lpwstr/>
      </vt:variant>
      <vt:variant>
        <vt:lpwstr>_Toc240249650</vt:lpwstr>
      </vt:variant>
      <vt:variant>
        <vt:i4>1835056</vt:i4>
      </vt:variant>
      <vt:variant>
        <vt:i4>1628</vt:i4>
      </vt:variant>
      <vt:variant>
        <vt:i4>0</vt:i4>
      </vt:variant>
      <vt:variant>
        <vt:i4>5</vt:i4>
      </vt:variant>
      <vt:variant>
        <vt:lpwstr/>
      </vt:variant>
      <vt:variant>
        <vt:lpwstr>_Toc240249649</vt:lpwstr>
      </vt:variant>
      <vt:variant>
        <vt:i4>1835056</vt:i4>
      </vt:variant>
      <vt:variant>
        <vt:i4>1622</vt:i4>
      </vt:variant>
      <vt:variant>
        <vt:i4>0</vt:i4>
      </vt:variant>
      <vt:variant>
        <vt:i4>5</vt:i4>
      </vt:variant>
      <vt:variant>
        <vt:lpwstr/>
      </vt:variant>
      <vt:variant>
        <vt:lpwstr>_Toc240249648</vt:lpwstr>
      </vt:variant>
      <vt:variant>
        <vt:i4>1835056</vt:i4>
      </vt:variant>
      <vt:variant>
        <vt:i4>1616</vt:i4>
      </vt:variant>
      <vt:variant>
        <vt:i4>0</vt:i4>
      </vt:variant>
      <vt:variant>
        <vt:i4>5</vt:i4>
      </vt:variant>
      <vt:variant>
        <vt:lpwstr/>
      </vt:variant>
      <vt:variant>
        <vt:lpwstr>_Toc240249647</vt:lpwstr>
      </vt:variant>
      <vt:variant>
        <vt:i4>1835056</vt:i4>
      </vt:variant>
      <vt:variant>
        <vt:i4>1610</vt:i4>
      </vt:variant>
      <vt:variant>
        <vt:i4>0</vt:i4>
      </vt:variant>
      <vt:variant>
        <vt:i4>5</vt:i4>
      </vt:variant>
      <vt:variant>
        <vt:lpwstr/>
      </vt:variant>
      <vt:variant>
        <vt:lpwstr>_Toc240249646</vt:lpwstr>
      </vt:variant>
      <vt:variant>
        <vt:i4>1835056</vt:i4>
      </vt:variant>
      <vt:variant>
        <vt:i4>1604</vt:i4>
      </vt:variant>
      <vt:variant>
        <vt:i4>0</vt:i4>
      </vt:variant>
      <vt:variant>
        <vt:i4>5</vt:i4>
      </vt:variant>
      <vt:variant>
        <vt:lpwstr/>
      </vt:variant>
      <vt:variant>
        <vt:lpwstr>_Toc240249645</vt:lpwstr>
      </vt:variant>
      <vt:variant>
        <vt:i4>1835056</vt:i4>
      </vt:variant>
      <vt:variant>
        <vt:i4>1598</vt:i4>
      </vt:variant>
      <vt:variant>
        <vt:i4>0</vt:i4>
      </vt:variant>
      <vt:variant>
        <vt:i4>5</vt:i4>
      </vt:variant>
      <vt:variant>
        <vt:lpwstr/>
      </vt:variant>
      <vt:variant>
        <vt:lpwstr>_Toc240249644</vt:lpwstr>
      </vt:variant>
      <vt:variant>
        <vt:i4>1835056</vt:i4>
      </vt:variant>
      <vt:variant>
        <vt:i4>1592</vt:i4>
      </vt:variant>
      <vt:variant>
        <vt:i4>0</vt:i4>
      </vt:variant>
      <vt:variant>
        <vt:i4>5</vt:i4>
      </vt:variant>
      <vt:variant>
        <vt:lpwstr/>
      </vt:variant>
      <vt:variant>
        <vt:lpwstr>_Toc240249643</vt:lpwstr>
      </vt:variant>
      <vt:variant>
        <vt:i4>1835056</vt:i4>
      </vt:variant>
      <vt:variant>
        <vt:i4>1586</vt:i4>
      </vt:variant>
      <vt:variant>
        <vt:i4>0</vt:i4>
      </vt:variant>
      <vt:variant>
        <vt:i4>5</vt:i4>
      </vt:variant>
      <vt:variant>
        <vt:lpwstr/>
      </vt:variant>
      <vt:variant>
        <vt:lpwstr>_Toc240249642</vt:lpwstr>
      </vt:variant>
      <vt:variant>
        <vt:i4>1835056</vt:i4>
      </vt:variant>
      <vt:variant>
        <vt:i4>1580</vt:i4>
      </vt:variant>
      <vt:variant>
        <vt:i4>0</vt:i4>
      </vt:variant>
      <vt:variant>
        <vt:i4>5</vt:i4>
      </vt:variant>
      <vt:variant>
        <vt:lpwstr/>
      </vt:variant>
      <vt:variant>
        <vt:lpwstr>_Toc240249641</vt:lpwstr>
      </vt:variant>
      <vt:variant>
        <vt:i4>1835056</vt:i4>
      </vt:variant>
      <vt:variant>
        <vt:i4>1574</vt:i4>
      </vt:variant>
      <vt:variant>
        <vt:i4>0</vt:i4>
      </vt:variant>
      <vt:variant>
        <vt:i4>5</vt:i4>
      </vt:variant>
      <vt:variant>
        <vt:lpwstr/>
      </vt:variant>
      <vt:variant>
        <vt:lpwstr>_Toc240249640</vt:lpwstr>
      </vt:variant>
      <vt:variant>
        <vt:i4>1769520</vt:i4>
      </vt:variant>
      <vt:variant>
        <vt:i4>1568</vt:i4>
      </vt:variant>
      <vt:variant>
        <vt:i4>0</vt:i4>
      </vt:variant>
      <vt:variant>
        <vt:i4>5</vt:i4>
      </vt:variant>
      <vt:variant>
        <vt:lpwstr/>
      </vt:variant>
      <vt:variant>
        <vt:lpwstr>_Toc240249639</vt:lpwstr>
      </vt:variant>
      <vt:variant>
        <vt:i4>1769520</vt:i4>
      </vt:variant>
      <vt:variant>
        <vt:i4>1562</vt:i4>
      </vt:variant>
      <vt:variant>
        <vt:i4>0</vt:i4>
      </vt:variant>
      <vt:variant>
        <vt:i4>5</vt:i4>
      </vt:variant>
      <vt:variant>
        <vt:lpwstr/>
      </vt:variant>
      <vt:variant>
        <vt:lpwstr>_Toc240249638</vt:lpwstr>
      </vt:variant>
      <vt:variant>
        <vt:i4>1769520</vt:i4>
      </vt:variant>
      <vt:variant>
        <vt:i4>1556</vt:i4>
      </vt:variant>
      <vt:variant>
        <vt:i4>0</vt:i4>
      </vt:variant>
      <vt:variant>
        <vt:i4>5</vt:i4>
      </vt:variant>
      <vt:variant>
        <vt:lpwstr/>
      </vt:variant>
      <vt:variant>
        <vt:lpwstr>_Toc240249637</vt:lpwstr>
      </vt:variant>
      <vt:variant>
        <vt:i4>1769520</vt:i4>
      </vt:variant>
      <vt:variant>
        <vt:i4>1550</vt:i4>
      </vt:variant>
      <vt:variant>
        <vt:i4>0</vt:i4>
      </vt:variant>
      <vt:variant>
        <vt:i4>5</vt:i4>
      </vt:variant>
      <vt:variant>
        <vt:lpwstr/>
      </vt:variant>
      <vt:variant>
        <vt:lpwstr>_Toc240249636</vt:lpwstr>
      </vt:variant>
      <vt:variant>
        <vt:i4>1769520</vt:i4>
      </vt:variant>
      <vt:variant>
        <vt:i4>1544</vt:i4>
      </vt:variant>
      <vt:variant>
        <vt:i4>0</vt:i4>
      </vt:variant>
      <vt:variant>
        <vt:i4>5</vt:i4>
      </vt:variant>
      <vt:variant>
        <vt:lpwstr/>
      </vt:variant>
      <vt:variant>
        <vt:lpwstr>_Toc240249635</vt:lpwstr>
      </vt:variant>
      <vt:variant>
        <vt:i4>1769520</vt:i4>
      </vt:variant>
      <vt:variant>
        <vt:i4>1538</vt:i4>
      </vt:variant>
      <vt:variant>
        <vt:i4>0</vt:i4>
      </vt:variant>
      <vt:variant>
        <vt:i4>5</vt:i4>
      </vt:variant>
      <vt:variant>
        <vt:lpwstr/>
      </vt:variant>
      <vt:variant>
        <vt:lpwstr>_Toc240249634</vt:lpwstr>
      </vt:variant>
      <vt:variant>
        <vt:i4>1769520</vt:i4>
      </vt:variant>
      <vt:variant>
        <vt:i4>1532</vt:i4>
      </vt:variant>
      <vt:variant>
        <vt:i4>0</vt:i4>
      </vt:variant>
      <vt:variant>
        <vt:i4>5</vt:i4>
      </vt:variant>
      <vt:variant>
        <vt:lpwstr/>
      </vt:variant>
      <vt:variant>
        <vt:lpwstr>_Toc240249633</vt:lpwstr>
      </vt:variant>
      <vt:variant>
        <vt:i4>1769520</vt:i4>
      </vt:variant>
      <vt:variant>
        <vt:i4>1526</vt:i4>
      </vt:variant>
      <vt:variant>
        <vt:i4>0</vt:i4>
      </vt:variant>
      <vt:variant>
        <vt:i4>5</vt:i4>
      </vt:variant>
      <vt:variant>
        <vt:lpwstr/>
      </vt:variant>
      <vt:variant>
        <vt:lpwstr>_Toc240249632</vt:lpwstr>
      </vt:variant>
      <vt:variant>
        <vt:i4>1769520</vt:i4>
      </vt:variant>
      <vt:variant>
        <vt:i4>1520</vt:i4>
      </vt:variant>
      <vt:variant>
        <vt:i4>0</vt:i4>
      </vt:variant>
      <vt:variant>
        <vt:i4>5</vt:i4>
      </vt:variant>
      <vt:variant>
        <vt:lpwstr/>
      </vt:variant>
      <vt:variant>
        <vt:lpwstr>_Toc240249631</vt:lpwstr>
      </vt:variant>
      <vt:variant>
        <vt:i4>1769520</vt:i4>
      </vt:variant>
      <vt:variant>
        <vt:i4>1514</vt:i4>
      </vt:variant>
      <vt:variant>
        <vt:i4>0</vt:i4>
      </vt:variant>
      <vt:variant>
        <vt:i4>5</vt:i4>
      </vt:variant>
      <vt:variant>
        <vt:lpwstr/>
      </vt:variant>
      <vt:variant>
        <vt:lpwstr>_Toc240249630</vt:lpwstr>
      </vt:variant>
      <vt:variant>
        <vt:i4>1703984</vt:i4>
      </vt:variant>
      <vt:variant>
        <vt:i4>1508</vt:i4>
      </vt:variant>
      <vt:variant>
        <vt:i4>0</vt:i4>
      </vt:variant>
      <vt:variant>
        <vt:i4>5</vt:i4>
      </vt:variant>
      <vt:variant>
        <vt:lpwstr/>
      </vt:variant>
      <vt:variant>
        <vt:lpwstr>_Toc240249629</vt:lpwstr>
      </vt:variant>
      <vt:variant>
        <vt:i4>1703984</vt:i4>
      </vt:variant>
      <vt:variant>
        <vt:i4>1502</vt:i4>
      </vt:variant>
      <vt:variant>
        <vt:i4>0</vt:i4>
      </vt:variant>
      <vt:variant>
        <vt:i4>5</vt:i4>
      </vt:variant>
      <vt:variant>
        <vt:lpwstr/>
      </vt:variant>
      <vt:variant>
        <vt:lpwstr>_Toc240249628</vt:lpwstr>
      </vt:variant>
      <vt:variant>
        <vt:i4>1703984</vt:i4>
      </vt:variant>
      <vt:variant>
        <vt:i4>1496</vt:i4>
      </vt:variant>
      <vt:variant>
        <vt:i4>0</vt:i4>
      </vt:variant>
      <vt:variant>
        <vt:i4>5</vt:i4>
      </vt:variant>
      <vt:variant>
        <vt:lpwstr/>
      </vt:variant>
      <vt:variant>
        <vt:lpwstr>_Toc240249627</vt:lpwstr>
      </vt:variant>
      <vt:variant>
        <vt:i4>1703984</vt:i4>
      </vt:variant>
      <vt:variant>
        <vt:i4>1490</vt:i4>
      </vt:variant>
      <vt:variant>
        <vt:i4>0</vt:i4>
      </vt:variant>
      <vt:variant>
        <vt:i4>5</vt:i4>
      </vt:variant>
      <vt:variant>
        <vt:lpwstr/>
      </vt:variant>
      <vt:variant>
        <vt:lpwstr>_Toc240249626</vt:lpwstr>
      </vt:variant>
      <vt:variant>
        <vt:i4>1703984</vt:i4>
      </vt:variant>
      <vt:variant>
        <vt:i4>1484</vt:i4>
      </vt:variant>
      <vt:variant>
        <vt:i4>0</vt:i4>
      </vt:variant>
      <vt:variant>
        <vt:i4>5</vt:i4>
      </vt:variant>
      <vt:variant>
        <vt:lpwstr/>
      </vt:variant>
      <vt:variant>
        <vt:lpwstr>_Toc240249625</vt:lpwstr>
      </vt:variant>
      <vt:variant>
        <vt:i4>1703984</vt:i4>
      </vt:variant>
      <vt:variant>
        <vt:i4>1478</vt:i4>
      </vt:variant>
      <vt:variant>
        <vt:i4>0</vt:i4>
      </vt:variant>
      <vt:variant>
        <vt:i4>5</vt:i4>
      </vt:variant>
      <vt:variant>
        <vt:lpwstr/>
      </vt:variant>
      <vt:variant>
        <vt:lpwstr>_Toc240249624</vt:lpwstr>
      </vt:variant>
      <vt:variant>
        <vt:i4>1703984</vt:i4>
      </vt:variant>
      <vt:variant>
        <vt:i4>1472</vt:i4>
      </vt:variant>
      <vt:variant>
        <vt:i4>0</vt:i4>
      </vt:variant>
      <vt:variant>
        <vt:i4>5</vt:i4>
      </vt:variant>
      <vt:variant>
        <vt:lpwstr/>
      </vt:variant>
      <vt:variant>
        <vt:lpwstr>_Toc240249623</vt:lpwstr>
      </vt:variant>
      <vt:variant>
        <vt:i4>1703984</vt:i4>
      </vt:variant>
      <vt:variant>
        <vt:i4>1466</vt:i4>
      </vt:variant>
      <vt:variant>
        <vt:i4>0</vt:i4>
      </vt:variant>
      <vt:variant>
        <vt:i4>5</vt:i4>
      </vt:variant>
      <vt:variant>
        <vt:lpwstr/>
      </vt:variant>
      <vt:variant>
        <vt:lpwstr>_Toc240249622</vt:lpwstr>
      </vt:variant>
      <vt:variant>
        <vt:i4>1703984</vt:i4>
      </vt:variant>
      <vt:variant>
        <vt:i4>1460</vt:i4>
      </vt:variant>
      <vt:variant>
        <vt:i4>0</vt:i4>
      </vt:variant>
      <vt:variant>
        <vt:i4>5</vt:i4>
      </vt:variant>
      <vt:variant>
        <vt:lpwstr/>
      </vt:variant>
      <vt:variant>
        <vt:lpwstr>_Toc240249621</vt:lpwstr>
      </vt:variant>
      <vt:variant>
        <vt:i4>1703984</vt:i4>
      </vt:variant>
      <vt:variant>
        <vt:i4>1454</vt:i4>
      </vt:variant>
      <vt:variant>
        <vt:i4>0</vt:i4>
      </vt:variant>
      <vt:variant>
        <vt:i4>5</vt:i4>
      </vt:variant>
      <vt:variant>
        <vt:lpwstr/>
      </vt:variant>
      <vt:variant>
        <vt:lpwstr>_Toc240249620</vt:lpwstr>
      </vt:variant>
      <vt:variant>
        <vt:i4>1638448</vt:i4>
      </vt:variant>
      <vt:variant>
        <vt:i4>1448</vt:i4>
      </vt:variant>
      <vt:variant>
        <vt:i4>0</vt:i4>
      </vt:variant>
      <vt:variant>
        <vt:i4>5</vt:i4>
      </vt:variant>
      <vt:variant>
        <vt:lpwstr/>
      </vt:variant>
      <vt:variant>
        <vt:lpwstr>_Toc240249619</vt:lpwstr>
      </vt:variant>
      <vt:variant>
        <vt:i4>1638448</vt:i4>
      </vt:variant>
      <vt:variant>
        <vt:i4>1442</vt:i4>
      </vt:variant>
      <vt:variant>
        <vt:i4>0</vt:i4>
      </vt:variant>
      <vt:variant>
        <vt:i4>5</vt:i4>
      </vt:variant>
      <vt:variant>
        <vt:lpwstr/>
      </vt:variant>
      <vt:variant>
        <vt:lpwstr>_Toc240249618</vt:lpwstr>
      </vt:variant>
      <vt:variant>
        <vt:i4>1638448</vt:i4>
      </vt:variant>
      <vt:variant>
        <vt:i4>1436</vt:i4>
      </vt:variant>
      <vt:variant>
        <vt:i4>0</vt:i4>
      </vt:variant>
      <vt:variant>
        <vt:i4>5</vt:i4>
      </vt:variant>
      <vt:variant>
        <vt:lpwstr/>
      </vt:variant>
      <vt:variant>
        <vt:lpwstr>_Toc240249617</vt:lpwstr>
      </vt:variant>
      <vt:variant>
        <vt:i4>1638448</vt:i4>
      </vt:variant>
      <vt:variant>
        <vt:i4>1430</vt:i4>
      </vt:variant>
      <vt:variant>
        <vt:i4>0</vt:i4>
      </vt:variant>
      <vt:variant>
        <vt:i4>5</vt:i4>
      </vt:variant>
      <vt:variant>
        <vt:lpwstr/>
      </vt:variant>
      <vt:variant>
        <vt:lpwstr>_Toc240249616</vt:lpwstr>
      </vt:variant>
      <vt:variant>
        <vt:i4>1638448</vt:i4>
      </vt:variant>
      <vt:variant>
        <vt:i4>1424</vt:i4>
      </vt:variant>
      <vt:variant>
        <vt:i4>0</vt:i4>
      </vt:variant>
      <vt:variant>
        <vt:i4>5</vt:i4>
      </vt:variant>
      <vt:variant>
        <vt:lpwstr/>
      </vt:variant>
      <vt:variant>
        <vt:lpwstr>_Toc240249615</vt:lpwstr>
      </vt:variant>
      <vt:variant>
        <vt:i4>1638448</vt:i4>
      </vt:variant>
      <vt:variant>
        <vt:i4>1418</vt:i4>
      </vt:variant>
      <vt:variant>
        <vt:i4>0</vt:i4>
      </vt:variant>
      <vt:variant>
        <vt:i4>5</vt:i4>
      </vt:variant>
      <vt:variant>
        <vt:lpwstr/>
      </vt:variant>
      <vt:variant>
        <vt:lpwstr>_Toc240249614</vt:lpwstr>
      </vt:variant>
      <vt:variant>
        <vt:i4>1638448</vt:i4>
      </vt:variant>
      <vt:variant>
        <vt:i4>1412</vt:i4>
      </vt:variant>
      <vt:variant>
        <vt:i4>0</vt:i4>
      </vt:variant>
      <vt:variant>
        <vt:i4>5</vt:i4>
      </vt:variant>
      <vt:variant>
        <vt:lpwstr/>
      </vt:variant>
      <vt:variant>
        <vt:lpwstr>_Toc240249613</vt:lpwstr>
      </vt:variant>
      <vt:variant>
        <vt:i4>1638448</vt:i4>
      </vt:variant>
      <vt:variant>
        <vt:i4>1406</vt:i4>
      </vt:variant>
      <vt:variant>
        <vt:i4>0</vt:i4>
      </vt:variant>
      <vt:variant>
        <vt:i4>5</vt:i4>
      </vt:variant>
      <vt:variant>
        <vt:lpwstr/>
      </vt:variant>
      <vt:variant>
        <vt:lpwstr>_Toc240249612</vt:lpwstr>
      </vt:variant>
      <vt:variant>
        <vt:i4>1638448</vt:i4>
      </vt:variant>
      <vt:variant>
        <vt:i4>1400</vt:i4>
      </vt:variant>
      <vt:variant>
        <vt:i4>0</vt:i4>
      </vt:variant>
      <vt:variant>
        <vt:i4>5</vt:i4>
      </vt:variant>
      <vt:variant>
        <vt:lpwstr/>
      </vt:variant>
      <vt:variant>
        <vt:lpwstr>_Toc240249611</vt:lpwstr>
      </vt:variant>
      <vt:variant>
        <vt:i4>1638448</vt:i4>
      </vt:variant>
      <vt:variant>
        <vt:i4>1394</vt:i4>
      </vt:variant>
      <vt:variant>
        <vt:i4>0</vt:i4>
      </vt:variant>
      <vt:variant>
        <vt:i4>5</vt:i4>
      </vt:variant>
      <vt:variant>
        <vt:lpwstr/>
      </vt:variant>
      <vt:variant>
        <vt:lpwstr>_Toc240249610</vt:lpwstr>
      </vt:variant>
      <vt:variant>
        <vt:i4>1572912</vt:i4>
      </vt:variant>
      <vt:variant>
        <vt:i4>1388</vt:i4>
      </vt:variant>
      <vt:variant>
        <vt:i4>0</vt:i4>
      </vt:variant>
      <vt:variant>
        <vt:i4>5</vt:i4>
      </vt:variant>
      <vt:variant>
        <vt:lpwstr/>
      </vt:variant>
      <vt:variant>
        <vt:lpwstr>_Toc240249609</vt:lpwstr>
      </vt:variant>
      <vt:variant>
        <vt:i4>1572912</vt:i4>
      </vt:variant>
      <vt:variant>
        <vt:i4>1382</vt:i4>
      </vt:variant>
      <vt:variant>
        <vt:i4>0</vt:i4>
      </vt:variant>
      <vt:variant>
        <vt:i4>5</vt:i4>
      </vt:variant>
      <vt:variant>
        <vt:lpwstr/>
      </vt:variant>
      <vt:variant>
        <vt:lpwstr>_Toc240249608</vt:lpwstr>
      </vt:variant>
      <vt:variant>
        <vt:i4>1572912</vt:i4>
      </vt:variant>
      <vt:variant>
        <vt:i4>1376</vt:i4>
      </vt:variant>
      <vt:variant>
        <vt:i4>0</vt:i4>
      </vt:variant>
      <vt:variant>
        <vt:i4>5</vt:i4>
      </vt:variant>
      <vt:variant>
        <vt:lpwstr/>
      </vt:variant>
      <vt:variant>
        <vt:lpwstr>_Toc240249607</vt:lpwstr>
      </vt:variant>
      <vt:variant>
        <vt:i4>1572912</vt:i4>
      </vt:variant>
      <vt:variant>
        <vt:i4>1370</vt:i4>
      </vt:variant>
      <vt:variant>
        <vt:i4>0</vt:i4>
      </vt:variant>
      <vt:variant>
        <vt:i4>5</vt:i4>
      </vt:variant>
      <vt:variant>
        <vt:lpwstr/>
      </vt:variant>
      <vt:variant>
        <vt:lpwstr>_Toc240249606</vt:lpwstr>
      </vt:variant>
      <vt:variant>
        <vt:i4>1572912</vt:i4>
      </vt:variant>
      <vt:variant>
        <vt:i4>1364</vt:i4>
      </vt:variant>
      <vt:variant>
        <vt:i4>0</vt:i4>
      </vt:variant>
      <vt:variant>
        <vt:i4>5</vt:i4>
      </vt:variant>
      <vt:variant>
        <vt:lpwstr/>
      </vt:variant>
      <vt:variant>
        <vt:lpwstr>_Toc240249605</vt:lpwstr>
      </vt:variant>
      <vt:variant>
        <vt:i4>1572912</vt:i4>
      </vt:variant>
      <vt:variant>
        <vt:i4>1358</vt:i4>
      </vt:variant>
      <vt:variant>
        <vt:i4>0</vt:i4>
      </vt:variant>
      <vt:variant>
        <vt:i4>5</vt:i4>
      </vt:variant>
      <vt:variant>
        <vt:lpwstr/>
      </vt:variant>
      <vt:variant>
        <vt:lpwstr>_Toc240249604</vt:lpwstr>
      </vt:variant>
      <vt:variant>
        <vt:i4>1572912</vt:i4>
      </vt:variant>
      <vt:variant>
        <vt:i4>1352</vt:i4>
      </vt:variant>
      <vt:variant>
        <vt:i4>0</vt:i4>
      </vt:variant>
      <vt:variant>
        <vt:i4>5</vt:i4>
      </vt:variant>
      <vt:variant>
        <vt:lpwstr/>
      </vt:variant>
      <vt:variant>
        <vt:lpwstr>_Toc240249603</vt:lpwstr>
      </vt:variant>
      <vt:variant>
        <vt:i4>1572912</vt:i4>
      </vt:variant>
      <vt:variant>
        <vt:i4>1346</vt:i4>
      </vt:variant>
      <vt:variant>
        <vt:i4>0</vt:i4>
      </vt:variant>
      <vt:variant>
        <vt:i4>5</vt:i4>
      </vt:variant>
      <vt:variant>
        <vt:lpwstr/>
      </vt:variant>
      <vt:variant>
        <vt:lpwstr>_Toc240249602</vt:lpwstr>
      </vt:variant>
      <vt:variant>
        <vt:i4>1572912</vt:i4>
      </vt:variant>
      <vt:variant>
        <vt:i4>1340</vt:i4>
      </vt:variant>
      <vt:variant>
        <vt:i4>0</vt:i4>
      </vt:variant>
      <vt:variant>
        <vt:i4>5</vt:i4>
      </vt:variant>
      <vt:variant>
        <vt:lpwstr/>
      </vt:variant>
      <vt:variant>
        <vt:lpwstr>_Toc240249601</vt:lpwstr>
      </vt:variant>
      <vt:variant>
        <vt:i4>1572912</vt:i4>
      </vt:variant>
      <vt:variant>
        <vt:i4>1334</vt:i4>
      </vt:variant>
      <vt:variant>
        <vt:i4>0</vt:i4>
      </vt:variant>
      <vt:variant>
        <vt:i4>5</vt:i4>
      </vt:variant>
      <vt:variant>
        <vt:lpwstr/>
      </vt:variant>
      <vt:variant>
        <vt:lpwstr>_Toc240249600</vt:lpwstr>
      </vt:variant>
      <vt:variant>
        <vt:i4>1114163</vt:i4>
      </vt:variant>
      <vt:variant>
        <vt:i4>1328</vt:i4>
      </vt:variant>
      <vt:variant>
        <vt:i4>0</vt:i4>
      </vt:variant>
      <vt:variant>
        <vt:i4>5</vt:i4>
      </vt:variant>
      <vt:variant>
        <vt:lpwstr/>
      </vt:variant>
      <vt:variant>
        <vt:lpwstr>_Toc240249599</vt:lpwstr>
      </vt:variant>
      <vt:variant>
        <vt:i4>1114163</vt:i4>
      </vt:variant>
      <vt:variant>
        <vt:i4>1322</vt:i4>
      </vt:variant>
      <vt:variant>
        <vt:i4>0</vt:i4>
      </vt:variant>
      <vt:variant>
        <vt:i4>5</vt:i4>
      </vt:variant>
      <vt:variant>
        <vt:lpwstr/>
      </vt:variant>
      <vt:variant>
        <vt:lpwstr>_Toc240249598</vt:lpwstr>
      </vt:variant>
      <vt:variant>
        <vt:i4>1114163</vt:i4>
      </vt:variant>
      <vt:variant>
        <vt:i4>1316</vt:i4>
      </vt:variant>
      <vt:variant>
        <vt:i4>0</vt:i4>
      </vt:variant>
      <vt:variant>
        <vt:i4>5</vt:i4>
      </vt:variant>
      <vt:variant>
        <vt:lpwstr/>
      </vt:variant>
      <vt:variant>
        <vt:lpwstr>_Toc240249597</vt:lpwstr>
      </vt:variant>
      <vt:variant>
        <vt:i4>1114163</vt:i4>
      </vt:variant>
      <vt:variant>
        <vt:i4>1310</vt:i4>
      </vt:variant>
      <vt:variant>
        <vt:i4>0</vt:i4>
      </vt:variant>
      <vt:variant>
        <vt:i4>5</vt:i4>
      </vt:variant>
      <vt:variant>
        <vt:lpwstr/>
      </vt:variant>
      <vt:variant>
        <vt:lpwstr>_Toc240249596</vt:lpwstr>
      </vt:variant>
      <vt:variant>
        <vt:i4>1114163</vt:i4>
      </vt:variant>
      <vt:variant>
        <vt:i4>1304</vt:i4>
      </vt:variant>
      <vt:variant>
        <vt:i4>0</vt:i4>
      </vt:variant>
      <vt:variant>
        <vt:i4>5</vt:i4>
      </vt:variant>
      <vt:variant>
        <vt:lpwstr/>
      </vt:variant>
      <vt:variant>
        <vt:lpwstr>_Toc240249595</vt:lpwstr>
      </vt:variant>
      <vt:variant>
        <vt:i4>1114163</vt:i4>
      </vt:variant>
      <vt:variant>
        <vt:i4>1298</vt:i4>
      </vt:variant>
      <vt:variant>
        <vt:i4>0</vt:i4>
      </vt:variant>
      <vt:variant>
        <vt:i4>5</vt:i4>
      </vt:variant>
      <vt:variant>
        <vt:lpwstr/>
      </vt:variant>
      <vt:variant>
        <vt:lpwstr>_Toc240249594</vt:lpwstr>
      </vt:variant>
      <vt:variant>
        <vt:i4>1114163</vt:i4>
      </vt:variant>
      <vt:variant>
        <vt:i4>1292</vt:i4>
      </vt:variant>
      <vt:variant>
        <vt:i4>0</vt:i4>
      </vt:variant>
      <vt:variant>
        <vt:i4>5</vt:i4>
      </vt:variant>
      <vt:variant>
        <vt:lpwstr/>
      </vt:variant>
      <vt:variant>
        <vt:lpwstr>_Toc240249593</vt:lpwstr>
      </vt:variant>
      <vt:variant>
        <vt:i4>1114163</vt:i4>
      </vt:variant>
      <vt:variant>
        <vt:i4>1286</vt:i4>
      </vt:variant>
      <vt:variant>
        <vt:i4>0</vt:i4>
      </vt:variant>
      <vt:variant>
        <vt:i4>5</vt:i4>
      </vt:variant>
      <vt:variant>
        <vt:lpwstr/>
      </vt:variant>
      <vt:variant>
        <vt:lpwstr>_Toc240249592</vt:lpwstr>
      </vt:variant>
      <vt:variant>
        <vt:i4>1114163</vt:i4>
      </vt:variant>
      <vt:variant>
        <vt:i4>1280</vt:i4>
      </vt:variant>
      <vt:variant>
        <vt:i4>0</vt:i4>
      </vt:variant>
      <vt:variant>
        <vt:i4>5</vt:i4>
      </vt:variant>
      <vt:variant>
        <vt:lpwstr/>
      </vt:variant>
      <vt:variant>
        <vt:lpwstr>_Toc240249591</vt:lpwstr>
      </vt:variant>
      <vt:variant>
        <vt:i4>1114163</vt:i4>
      </vt:variant>
      <vt:variant>
        <vt:i4>1274</vt:i4>
      </vt:variant>
      <vt:variant>
        <vt:i4>0</vt:i4>
      </vt:variant>
      <vt:variant>
        <vt:i4>5</vt:i4>
      </vt:variant>
      <vt:variant>
        <vt:lpwstr/>
      </vt:variant>
      <vt:variant>
        <vt:lpwstr>_Toc240249590</vt:lpwstr>
      </vt:variant>
      <vt:variant>
        <vt:i4>1048627</vt:i4>
      </vt:variant>
      <vt:variant>
        <vt:i4>1268</vt:i4>
      </vt:variant>
      <vt:variant>
        <vt:i4>0</vt:i4>
      </vt:variant>
      <vt:variant>
        <vt:i4>5</vt:i4>
      </vt:variant>
      <vt:variant>
        <vt:lpwstr/>
      </vt:variant>
      <vt:variant>
        <vt:lpwstr>_Toc240249589</vt:lpwstr>
      </vt:variant>
      <vt:variant>
        <vt:i4>1048627</vt:i4>
      </vt:variant>
      <vt:variant>
        <vt:i4>1262</vt:i4>
      </vt:variant>
      <vt:variant>
        <vt:i4>0</vt:i4>
      </vt:variant>
      <vt:variant>
        <vt:i4>5</vt:i4>
      </vt:variant>
      <vt:variant>
        <vt:lpwstr/>
      </vt:variant>
      <vt:variant>
        <vt:lpwstr>_Toc240249588</vt:lpwstr>
      </vt:variant>
      <vt:variant>
        <vt:i4>1048627</vt:i4>
      </vt:variant>
      <vt:variant>
        <vt:i4>1256</vt:i4>
      </vt:variant>
      <vt:variant>
        <vt:i4>0</vt:i4>
      </vt:variant>
      <vt:variant>
        <vt:i4>5</vt:i4>
      </vt:variant>
      <vt:variant>
        <vt:lpwstr/>
      </vt:variant>
      <vt:variant>
        <vt:lpwstr>_Toc240249587</vt:lpwstr>
      </vt:variant>
      <vt:variant>
        <vt:i4>1048627</vt:i4>
      </vt:variant>
      <vt:variant>
        <vt:i4>1250</vt:i4>
      </vt:variant>
      <vt:variant>
        <vt:i4>0</vt:i4>
      </vt:variant>
      <vt:variant>
        <vt:i4>5</vt:i4>
      </vt:variant>
      <vt:variant>
        <vt:lpwstr/>
      </vt:variant>
      <vt:variant>
        <vt:lpwstr>_Toc240249586</vt:lpwstr>
      </vt:variant>
      <vt:variant>
        <vt:i4>1048627</vt:i4>
      </vt:variant>
      <vt:variant>
        <vt:i4>1244</vt:i4>
      </vt:variant>
      <vt:variant>
        <vt:i4>0</vt:i4>
      </vt:variant>
      <vt:variant>
        <vt:i4>5</vt:i4>
      </vt:variant>
      <vt:variant>
        <vt:lpwstr/>
      </vt:variant>
      <vt:variant>
        <vt:lpwstr>_Toc240249585</vt:lpwstr>
      </vt:variant>
      <vt:variant>
        <vt:i4>1048627</vt:i4>
      </vt:variant>
      <vt:variant>
        <vt:i4>1238</vt:i4>
      </vt:variant>
      <vt:variant>
        <vt:i4>0</vt:i4>
      </vt:variant>
      <vt:variant>
        <vt:i4>5</vt:i4>
      </vt:variant>
      <vt:variant>
        <vt:lpwstr/>
      </vt:variant>
      <vt:variant>
        <vt:lpwstr>_Toc240249584</vt:lpwstr>
      </vt:variant>
      <vt:variant>
        <vt:i4>1048627</vt:i4>
      </vt:variant>
      <vt:variant>
        <vt:i4>1232</vt:i4>
      </vt:variant>
      <vt:variant>
        <vt:i4>0</vt:i4>
      </vt:variant>
      <vt:variant>
        <vt:i4>5</vt:i4>
      </vt:variant>
      <vt:variant>
        <vt:lpwstr/>
      </vt:variant>
      <vt:variant>
        <vt:lpwstr>_Toc240249583</vt:lpwstr>
      </vt:variant>
      <vt:variant>
        <vt:i4>1048627</vt:i4>
      </vt:variant>
      <vt:variant>
        <vt:i4>1226</vt:i4>
      </vt:variant>
      <vt:variant>
        <vt:i4>0</vt:i4>
      </vt:variant>
      <vt:variant>
        <vt:i4>5</vt:i4>
      </vt:variant>
      <vt:variant>
        <vt:lpwstr/>
      </vt:variant>
      <vt:variant>
        <vt:lpwstr>_Toc240249582</vt:lpwstr>
      </vt:variant>
      <vt:variant>
        <vt:i4>1048627</vt:i4>
      </vt:variant>
      <vt:variant>
        <vt:i4>1220</vt:i4>
      </vt:variant>
      <vt:variant>
        <vt:i4>0</vt:i4>
      </vt:variant>
      <vt:variant>
        <vt:i4>5</vt:i4>
      </vt:variant>
      <vt:variant>
        <vt:lpwstr/>
      </vt:variant>
      <vt:variant>
        <vt:lpwstr>_Toc240249581</vt:lpwstr>
      </vt:variant>
      <vt:variant>
        <vt:i4>1048627</vt:i4>
      </vt:variant>
      <vt:variant>
        <vt:i4>1214</vt:i4>
      </vt:variant>
      <vt:variant>
        <vt:i4>0</vt:i4>
      </vt:variant>
      <vt:variant>
        <vt:i4>5</vt:i4>
      </vt:variant>
      <vt:variant>
        <vt:lpwstr/>
      </vt:variant>
      <vt:variant>
        <vt:lpwstr>_Toc240249580</vt:lpwstr>
      </vt:variant>
      <vt:variant>
        <vt:i4>2031667</vt:i4>
      </vt:variant>
      <vt:variant>
        <vt:i4>1208</vt:i4>
      </vt:variant>
      <vt:variant>
        <vt:i4>0</vt:i4>
      </vt:variant>
      <vt:variant>
        <vt:i4>5</vt:i4>
      </vt:variant>
      <vt:variant>
        <vt:lpwstr/>
      </vt:variant>
      <vt:variant>
        <vt:lpwstr>_Toc240249579</vt:lpwstr>
      </vt:variant>
      <vt:variant>
        <vt:i4>2031667</vt:i4>
      </vt:variant>
      <vt:variant>
        <vt:i4>1202</vt:i4>
      </vt:variant>
      <vt:variant>
        <vt:i4>0</vt:i4>
      </vt:variant>
      <vt:variant>
        <vt:i4>5</vt:i4>
      </vt:variant>
      <vt:variant>
        <vt:lpwstr/>
      </vt:variant>
      <vt:variant>
        <vt:lpwstr>_Toc240249578</vt:lpwstr>
      </vt:variant>
      <vt:variant>
        <vt:i4>2031667</vt:i4>
      </vt:variant>
      <vt:variant>
        <vt:i4>1196</vt:i4>
      </vt:variant>
      <vt:variant>
        <vt:i4>0</vt:i4>
      </vt:variant>
      <vt:variant>
        <vt:i4>5</vt:i4>
      </vt:variant>
      <vt:variant>
        <vt:lpwstr/>
      </vt:variant>
      <vt:variant>
        <vt:lpwstr>_Toc240249577</vt:lpwstr>
      </vt:variant>
      <vt:variant>
        <vt:i4>2031667</vt:i4>
      </vt:variant>
      <vt:variant>
        <vt:i4>1190</vt:i4>
      </vt:variant>
      <vt:variant>
        <vt:i4>0</vt:i4>
      </vt:variant>
      <vt:variant>
        <vt:i4>5</vt:i4>
      </vt:variant>
      <vt:variant>
        <vt:lpwstr/>
      </vt:variant>
      <vt:variant>
        <vt:lpwstr>_Toc240249576</vt:lpwstr>
      </vt:variant>
      <vt:variant>
        <vt:i4>2031667</vt:i4>
      </vt:variant>
      <vt:variant>
        <vt:i4>1184</vt:i4>
      </vt:variant>
      <vt:variant>
        <vt:i4>0</vt:i4>
      </vt:variant>
      <vt:variant>
        <vt:i4>5</vt:i4>
      </vt:variant>
      <vt:variant>
        <vt:lpwstr/>
      </vt:variant>
      <vt:variant>
        <vt:lpwstr>_Toc240249575</vt:lpwstr>
      </vt:variant>
      <vt:variant>
        <vt:i4>2031667</vt:i4>
      </vt:variant>
      <vt:variant>
        <vt:i4>1178</vt:i4>
      </vt:variant>
      <vt:variant>
        <vt:i4>0</vt:i4>
      </vt:variant>
      <vt:variant>
        <vt:i4>5</vt:i4>
      </vt:variant>
      <vt:variant>
        <vt:lpwstr/>
      </vt:variant>
      <vt:variant>
        <vt:lpwstr>_Toc240249574</vt:lpwstr>
      </vt:variant>
      <vt:variant>
        <vt:i4>2031667</vt:i4>
      </vt:variant>
      <vt:variant>
        <vt:i4>1172</vt:i4>
      </vt:variant>
      <vt:variant>
        <vt:i4>0</vt:i4>
      </vt:variant>
      <vt:variant>
        <vt:i4>5</vt:i4>
      </vt:variant>
      <vt:variant>
        <vt:lpwstr/>
      </vt:variant>
      <vt:variant>
        <vt:lpwstr>_Toc240249573</vt:lpwstr>
      </vt:variant>
      <vt:variant>
        <vt:i4>2031667</vt:i4>
      </vt:variant>
      <vt:variant>
        <vt:i4>1166</vt:i4>
      </vt:variant>
      <vt:variant>
        <vt:i4>0</vt:i4>
      </vt:variant>
      <vt:variant>
        <vt:i4>5</vt:i4>
      </vt:variant>
      <vt:variant>
        <vt:lpwstr/>
      </vt:variant>
      <vt:variant>
        <vt:lpwstr>_Toc240249572</vt:lpwstr>
      </vt:variant>
      <vt:variant>
        <vt:i4>2031667</vt:i4>
      </vt:variant>
      <vt:variant>
        <vt:i4>1160</vt:i4>
      </vt:variant>
      <vt:variant>
        <vt:i4>0</vt:i4>
      </vt:variant>
      <vt:variant>
        <vt:i4>5</vt:i4>
      </vt:variant>
      <vt:variant>
        <vt:lpwstr/>
      </vt:variant>
      <vt:variant>
        <vt:lpwstr>_Toc240249571</vt:lpwstr>
      </vt:variant>
      <vt:variant>
        <vt:i4>2031667</vt:i4>
      </vt:variant>
      <vt:variant>
        <vt:i4>1154</vt:i4>
      </vt:variant>
      <vt:variant>
        <vt:i4>0</vt:i4>
      </vt:variant>
      <vt:variant>
        <vt:i4>5</vt:i4>
      </vt:variant>
      <vt:variant>
        <vt:lpwstr/>
      </vt:variant>
      <vt:variant>
        <vt:lpwstr>_Toc240249570</vt:lpwstr>
      </vt:variant>
      <vt:variant>
        <vt:i4>1966131</vt:i4>
      </vt:variant>
      <vt:variant>
        <vt:i4>1148</vt:i4>
      </vt:variant>
      <vt:variant>
        <vt:i4>0</vt:i4>
      </vt:variant>
      <vt:variant>
        <vt:i4>5</vt:i4>
      </vt:variant>
      <vt:variant>
        <vt:lpwstr/>
      </vt:variant>
      <vt:variant>
        <vt:lpwstr>_Toc240249569</vt:lpwstr>
      </vt:variant>
      <vt:variant>
        <vt:i4>1966131</vt:i4>
      </vt:variant>
      <vt:variant>
        <vt:i4>1142</vt:i4>
      </vt:variant>
      <vt:variant>
        <vt:i4>0</vt:i4>
      </vt:variant>
      <vt:variant>
        <vt:i4>5</vt:i4>
      </vt:variant>
      <vt:variant>
        <vt:lpwstr/>
      </vt:variant>
      <vt:variant>
        <vt:lpwstr>_Toc240249568</vt:lpwstr>
      </vt:variant>
      <vt:variant>
        <vt:i4>1966131</vt:i4>
      </vt:variant>
      <vt:variant>
        <vt:i4>1136</vt:i4>
      </vt:variant>
      <vt:variant>
        <vt:i4>0</vt:i4>
      </vt:variant>
      <vt:variant>
        <vt:i4>5</vt:i4>
      </vt:variant>
      <vt:variant>
        <vt:lpwstr/>
      </vt:variant>
      <vt:variant>
        <vt:lpwstr>_Toc240249567</vt:lpwstr>
      </vt:variant>
      <vt:variant>
        <vt:i4>1966131</vt:i4>
      </vt:variant>
      <vt:variant>
        <vt:i4>1130</vt:i4>
      </vt:variant>
      <vt:variant>
        <vt:i4>0</vt:i4>
      </vt:variant>
      <vt:variant>
        <vt:i4>5</vt:i4>
      </vt:variant>
      <vt:variant>
        <vt:lpwstr/>
      </vt:variant>
      <vt:variant>
        <vt:lpwstr>_Toc240249566</vt:lpwstr>
      </vt:variant>
      <vt:variant>
        <vt:i4>1966131</vt:i4>
      </vt:variant>
      <vt:variant>
        <vt:i4>1124</vt:i4>
      </vt:variant>
      <vt:variant>
        <vt:i4>0</vt:i4>
      </vt:variant>
      <vt:variant>
        <vt:i4>5</vt:i4>
      </vt:variant>
      <vt:variant>
        <vt:lpwstr/>
      </vt:variant>
      <vt:variant>
        <vt:lpwstr>_Toc240249565</vt:lpwstr>
      </vt:variant>
      <vt:variant>
        <vt:i4>1966131</vt:i4>
      </vt:variant>
      <vt:variant>
        <vt:i4>1118</vt:i4>
      </vt:variant>
      <vt:variant>
        <vt:i4>0</vt:i4>
      </vt:variant>
      <vt:variant>
        <vt:i4>5</vt:i4>
      </vt:variant>
      <vt:variant>
        <vt:lpwstr/>
      </vt:variant>
      <vt:variant>
        <vt:lpwstr>_Toc240249564</vt:lpwstr>
      </vt:variant>
      <vt:variant>
        <vt:i4>1966131</vt:i4>
      </vt:variant>
      <vt:variant>
        <vt:i4>1112</vt:i4>
      </vt:variant>
      <vt:variant>
        <vt:i4>0</vt:i4>
      </vt:variant>
      <vt:variant>
        <vt:i4>5</vt:i4>
      </vt:variant>
      <vt:variant>
        <vt:lpwstr/>
      </vt:variant>
      <vt:variant>
        <vt:lpwstr>_Toc240249563</vt:lpwstr>
      </vt:variant>
      <vt:variant>
        <vt:i4>1966131</vt:i4>
      </vt:variant>
      <vt:variant>
        <vt:i4>1106</vt:i4>
      </vt:variant>
      <vt:variant>
        <vt:i4>0</vt:i4>
      </vt:variant>
      <vt:variant>
        <vt:i4>5</vt:i4>
      </vt:variant>
      <vt:variant>
        <vt:lpwstr/>
      </vt:variant>
      <vt:variant>
        <vt:lpwstr>_Toc240249562</vt:lpwstr>
      </vt:variant>
      <vt:variant>
        <vt:i4>1966131</vt:i4>
      </vt:variant>
      <vt:variant>
        <vt:i4>1100</vt:i4>
      </vt:variant>
      <vt:variant>
        <vt:i4>0</vt:i4>
      </vt:variant>
      <vt:variant>
        <vt:i4>5</vt:i4>
      </vt:variant>
      <vt:variant>
        <vt:lpwstr/>
      </vt:variant>
      <vt:variant>
        <vt:lpwstr>_Toc240249561</vt:lpwstr>
      </vt:variant>
      <vt:variant>
        <vt:i4>1966131</vt:i4>
      </vt:variant>
      <vt:variant>
        <vt:i4>1094</vt:i4>
      </vt:variant>
      <vt:variant>
        <vt:i4>0</vt:i4>
      </vt:variant>
      <vt:variant>
        <vt:i4>5</vt:i4>
      </vt:variant>
      <vt:variant>
        <vt:lpwstr/>
      </vt:variant>
      <vt:variant>
        <vt:lpwstr>_Toc240249560</vt:lpwstr>
      </vt:variant>
      <vt:variant>
        <vt:i4>1900595</vt:i4>
      </vt:variant>
      <vt:variant>
        <vt:i4>1088</vt:i4>
      </vt:variant>
      <vt:variant>
        <vt:i4>0</vt:i4>
      </vt:variant>
      <vt:variant>
        <vt:i4>5</vt:i4>
      </vt:variant>
      <vt:variant>
        <vt:lpwstr/>
      </vt:variant>
      <vt:variant>
        <vt:lpwstr>_Toc240249559</vt:lpwstr>
      </vt:variant>
      <vt:variant>
        <vt:i4>1900595</vt:i4>
      </vt:variant>
      <vt:variant>
        <vt:i4>1082</vt:i4>
      </vt:variant>
      <vt:variant>
        <vt:i4>0</vt:i4>
      </vt:variant>
      <vt:variant>
        <vt:i4>5</vt:i4>
      </vt:variant>
      <vt:variant>
        <vt:lpwstr/>
      </vt:variant>
      <vt:variant>
        <vt:lpwstr>_Toc240249558</vt:lpwstr>
      </vt:variant>
      <vt:variant>
        <vt:i4>1900595</vt:i4>
      </vt:variant>
      <vt:variant>
        <vt:i4>1076</vt:i4>
      </vt:variant>
      <vt:variant>
        <vt:i4>0</vt:i4>
      </vt:variant>
      <vt:variant>
        <vt:i4>5</vt:i4>
      </vt:variant>
      <vt:variant>
        <vt:lpwstr/>
      </vt:variant>
      <vt:variant>
        <vt:lpwstr>_Toc240249557</vt:lpwstr>
      </vt:variant>
      <vt:variant>
        <vt:i4>1900595</vt:i4>
      </vt:variant>
      <vt:variant>
        <vt:i4>1070</vt:i4>
      </vt:variant>
      <vt:variant>
        <vt:i4>0</vt:i4>
      </vt:variant>
      <vt:variant>
        <vt:i4>5</vt:i4>
      </vt:variant>
      <vt:variant>
        <vt:lpwstr/>
      </vt:variant>
      <vt:variant>
        <vt:lpwstr>_Toc240249556</vt:lpwstr>
      </vt:variant>
      <vt:variant>
        <vt:i4>1900595</vt:i4>
      </vt:variant>
      <vt:variant>
        <vt:i4>1064</vt:i4>
      </vt:variant>
      <vt:variant>
        <vt:i4>0</vt:i4>
      </vt:variant>
      <vt:variant>
        <vt:i4>5</vt:i4>
      </vt:variant>
      <vt:variant>
        <vt:lpwstr/>
      </vt:variant>
      <vt:variant>
        <vt:lpwstr>_Toc240249555</vt:lpwstr>
      </vt:variant>
      <vt:variant>
        <vt:i4>1900595</vt:i4>
      </vt:variant>
      <vt:variant>
        <vt:i4>1058</vt:i4>
      </vt:variant>
      <vt:variant>
        <vt:i4>0</vt:i4>
      </vt:variant>
      <vt:variant>
        <vt:i4>5</vt:i4>
      </vt:variant>
      <vt:variant>
        <vt:lpwstr/>
      </vt:variant>
      <vt:variant>
        <vt:lpwstr>_Toc240249554</vt:lpwstr>
      </vt:variant>
      <vt:variant>
        <vt:i4>1900595</vt:i4>
      </vt:variant>
      <vt:variant>
        <vt:i4>1052</vt:i4>
      </vt:variant>
      <vt:variant>
        <vt:i4>0</vt:i4>
      </vt:variant>
      <vt:variant>
        <vt:i4>5</vt:i4>
      </vt:variant>
      <vt:variant>
        <vt:lpwstr/>
      </vt:variant>
      <vt:variant>
        <vt:lpwstr>_Toc240249553</vt:lpwstr>
      </vt:variant>
      <vt:variant>
        <vt:i4>1900595</vt:i4>
      </vt:variant>
      <vt:variant>
        <vt:i4>1046</vt:i4>
      </vt:variant>
      <vt:variant>
        <vt:i4>0</vt:i4>
      </vt:variant>
      <vt:variant>
        <vt:i4>5</vt:i4>
      </vt:variant>
      <vt:variant>
        <vt:lpwstr/>
      </vt:variant>
      <vt:variant>
        <vt:lpwstr>_Toc240249552</vt:lpwstr>
      </vt:variant>
      <vt:variant>
        <vt:i4>1900595</vt:i4>
      </vt:variant>
      <vt:variant>
        <vt:i4>1040</vt:i4>
      </vt:variant>
      <vt:variant>
        <vt:i4>0</vt:i4>
      </vt:variant>
      <vt:variant>
        <vt:i4>5</vt:i4>
      </vt:variant>
      <vt:variant>
        <vt:lpwstr/>
      </vt:variant>
      <vt:variant>
        <vt:lpwstr>_Toc240249551</vt:lpwstr>
      </vt:variant>
      <vt:variant>
        <vt:i4>1900595</vt:i4>
      </vt:variant>
      <vt:variant>
        <vt:i4>1034</vt:i4>
      </vt:variant>
      <vt:variant>
        <vt:i4>0</vt:i4>
      </vt:variant>
      <vt:variant>
        <vt:i4>5</vt:i4>
      </vt:variant>
      <vt:variant>
        <vt:lpwstr/>
      </vt:variant>
      <vt:variant>
        <vt:lpwstr>_Toc240249550</vt:lpwstr>
      </vt:variant>
      <vt:variant>
        <vt:i4>1835059</vt:i4>
      </vt:variant>
      <vt:variant>
        <vt:i4>1028</vt:i4>
      </vt:variant>
      <vt:variant>
        <vt:i4>0</vt:i4>
      </vt:variant>
      <vt:variant>
        <vt:i4>5</vt:i4>
      </vt:variant>
      <vt:variant>
        <vt:lpwstr/>
      </vt:variant>
      <vt:variant>
        <vt:lpwstr>_Toc240249549</vt:lpwstr>
      </vt:variant>
      <vt:variant>
        <vt:i4>1835059</vt:i4>
      </vt:variant>
      <vt:variant>
        <vt:i4>1022</vt:i4>
      </vt:variant>
      <vt:variant>
        <vt:i4>0</vt:i4>
      </vt:variant>
      <vt:variant>
        <vt:i4>5</vt:i4>
      </vt:variant>
      <vt:variant>
        <vt:lpwstr/>
      </vt:variant>
      <vt:variant>
        <vt:lpwstr>_Toc240249548</vt:lpwstr>
      </vt:variant>
      <vt:variant>
        <vt:i4>1835059</vt:i4>
      </vt:variant>
      <vt:variant>
        <vt:i4>1016</vt:i4>
      </vt:variant>
      <vt:variant>
        <vt:i4>0</vt:i4>
      </vt:variant>
      <vt:variant>
        <vt:i4>5</vt:i4>
      </vt:variant>
      <vt:variant>
        <vt:lpwstr/>
      </vt:variant>
      <vt:variant>
        <vt:lpwstr>_Toc240249547</vt:lpwstr>
      </vt:variant>
      <vt:variant>
        <vt:i4>1835059</vt:i4>
      </vt:variant>
      <vt:variant>
        <vt:i4>1010</vt:i4>
      </vt:variant>
      <vt:variant>
        <vt:i4>0</vt:i4>
      </vt:variant>
      <vt:variant>
        <vt:i4>5</vt:i4>
      </vt:variant>
      <vt:variant>
        <vt:lpwstr/>
      </vt:variant>
      <vt:variant>
        <vt:lpwstr>_Toc240249546</vt:lpwstr>
      </vt:variant>
      <vt:variant>
        <vt:i4>1835059</vt:i4>
      </vt:variant>
      <vt:variant>
        <vt:i4>1004</vt:i4>
      </vt:variant>
      <vt:variant>
        <vt:i4>0</vt:i4>
      </vt:variant>
      <vt:variant>
        <vt:i4>5</vt:i4>
      </vt:variant>
      <vt:variant>
        <vt:lpwstr/>
      </vt:variant>
      <vt:variant>
        <vt:lpwstr>_Toc240249545</vt:lpwstr>
      </vt:variant>
      <vt:variant>
        <vt:i4>1835059</vt:i4>
      </vt:variant>
      <vt:variant>
        <vt:i4>998</vt:i4>
      </vt:variant>
      <vt:variant>
        <vt:i4>0</vt:i4>
      </vt:variant>
      <vt:variant>
        <vt:i4>5</vt:i4>
      </vt:variant>
      <vt:variant>
        <vt:lpwstr/>
      </vt:variant>
      <vt:variant>
        <vt:lpwstr>_Toc240249544</vt:lpwstr>
      </vt:variant>
      <vt:variant>
        <vt:i4>1835059</vt:i4>
      </vt:variant>
      <vt:variant>
        <vt:i4>992</vt:i4>
      </vt:variant>
      <vt:variant>
        <vt:i4>0</vt:i4>
      </vt:variant>
      <vt:variant>
        <vt:i4>5</vt:i4>
      </vt:variant>
      <vt:variant>
        <vt:lpwstr/>
      </vt:variant>
      <vt:variant>
        <vt:lpwstr>_Toc240249543</vt:lpwstr>
      </vt:variant>
      <vt:variant>
        <vt:i4>1835059</vt:i4>
      </vt:variant>
      <vt:variant>
        <vt:i4>986</vt:i4>
      </vt:variant>
      <vt:variant>
        <vt:i4>0</vt:i4>
      </vt:variant>
      <vt:variant>
        <vt:i4>5</vt:i4>
      </vt:variant>
      <vt:variant>
        <vt:lpwstr/>
      </vt:variant>
      <vt:variant>
        <vt:lpwstr>_Toc240249542</vt:lpwstr>
      </vt:variant>
      <vt:variant>
        <vt:i4>1835059</vt:i4>
      </vt:variant>
      <vt:variant>
        <vt:i4>980</vt:i4>
      </vt:variant>
      <vt:variant>
        <vt:i4>0</vt:i4>
      </vt:variant>
      <vt:variant>
        <vt:i4>5</vt:i4>
      </vt:variant>
      <vt:variant>
        <vt:lpwstr/>
      </vt:variant>
      <vt:variant>
        <vt:lpwstr>_Toc240249541</vt:lpwstr>
      </vt:variant>
      <vt:variant>
        <vt:i4>1835059</vt:i4>
      </vt:variant>
      <vt:variant>
        <vt:i4>974</vt:i4>
      </vt:variant>
      <vt:variant>
        <vt:i4>0</vt:i4>
      </vt:variant>
      <vt:variant>
        <vt:i4>5</vt:i4>
      </vt:variant>
      <vt:variant>
        <vt:lpwstr/>
      </vt:variant>
      <vt:variant>
        <vt:lpwstr>_Toc240249540</vt:lpwstr>
      </vt:variant>
      <vt:variant>
        <vt:i4>1769523</vt:i4>
      </vt:variant>
      <vt:variant>
        <vt:i4>968</vt:i4>
      </vt:variant>
      <vt:variant>
        <vt:i4>0</vt:i4>
      </vt:variant>
      <vt:variant>
        <vt:i4>5</vt:i4>
      </vt:variant>
      <vt:variant>
        <vt:lpwstr/>
      </vt:variant>
      <vt:variant>
        <vt:lpwstr>_Toc240249539</vt:lpwstr>
      </vt:variant>
      <vt:variant>
        <vt:i4>1769523</vt:i4>
      </vt:variant>
      <vt:variant>
        <vt:i4>962</vt:i4>
      </vt:variant>
      <vt:variant>
        <vt:i4>0</vt:i4>
      </vt:variant>
      <vt:variant>
        <vt:i4>5</vt:i4>
      </vt:variant>
      <vt:variant>
        <vt:lpwstr/>
      </vt:variant>
      <vt:variant>
        <vt:lpwstr>_Toc240249538</vt:lpwstr>
      </vt:variant>
      <vt:variant>
        <vt:i4>1769523</vt:i4>
      </vt:variant>
      <vt:variant>
        <vt:i4>956</vt:i4>
      </vt:variant>
      <vt:variant>
        <vt:i4>0</vt:i4>
      </vt:variant>
      <vt:variant>
        <vt:i4>5</vt:i4>
      </vt:variant>
      <vt:variant>
        <vt:lpwstr/>
      </vt:variant>
      <vt:variant>
        <vt:lpwstr>_Toc240249537</vt:lpwstr>
      </vt:variant>
      <vt:variant>
        <vt:i4>1769523</vt:i4>
      </vt:variant>
      <vt:variant>
        <vt:i4>950</vt:i4>
      </vt:variant>
      <vt:variant>
        <vt:i4>0</vt:i4>
      </vt:variant>
      <vt:variant>
        <vt:i4>5</vt:i4>
      </vt:variant>
      <vt:variant>
        <vt:lpwstr/>
      </vt:variant>
      <vt:variant>
        <vt:lpwstr>_Toc240249536</vt:lpwstr>
      </vt:variant>
      <vt:variant>
        <vt:i4>1769523</vt:i4>
      </vt:variant>
      <vt:variant>
        <vt:i4>944</vt:i4>
      </vt:variant>
      <vt:variant>
        <vt:i4>0</vt:i4>
      </vt:variant>
      <vt:variant>
        <vt:i4>5</vt:i4>
      </vt:variant>
      <vt:variant>
        <vt:lpwstr/>
      </vt:variant>
      <vt:variant>
        <vt:lpwstr>_Toc240249535</vt:lpwstr>
      </vt:variant>
      <vt:variant>
        <vt:i4>1769523</vt:i4>
      </vt:variant>
      <vt:variant>
        <vt:i4>938</vt:i4>
      </vt:variant>
      <vt:variant>
        <vt:i4>0</vt:i4>
      </vt:variant>
      <vt:variant>
        <vt:i4>5</vt:i4>
      </vt:variant>
      <vt:variant>
        <vt:lpwstr/>
      </vt:variant>
      <vt:variant>
        <vt:lpwstr>_Toc240249534</vt:lpwstr>
      </vt:variant>
      <vt:variant>
        <vt:i4>1769523</vt:i4>
      </vt:variant>
      <vt:variant>
        <vt:i4>932</vt:i4>
      </vt:variant>
      <vt:variant>
        <vt:i4>0</vt:i4>
      </vt:variant>
      <vt:variant>
        <vt:i4>5</vt:i4>
      </vt:variant>
      <vt:variant>
        <vt:lpwstr/>
      </vt:variant>
      <vt:variant>
        <vt:lpwstr>_Toc240249533</vt:lpwstr>
      </vt:variant>
      <vt:variant>
        <vt:i4>1769523</vt:i4>
      </vt:variant>
      <vt:variant>
        <vt:i4>926</vt:i4>
      </vt:variant>
      <vt:variant>
        <vt:i4>0</vt:i4>
      </vt:variant>
      <vt:variant>
        <vt:i4>5</vt:i4>
      </vt:variant>
      <vt:variant>
        <vt:lpwstr/>
      </vt:variant>
      <vt:variant>
        <vt:lpwstr>_Toc240249532</vt:lpwstr>
      </vt:variant>
      <vt:variant>
        <vt:i4>1769523</vt:i4>
      </vt:variant>
      <vt:variant>
        <vt:i4>920</vt:i4>
      </vt:variant>
      <vt:variant>
        <vt:i4>0</vt:i4>
      </vt:variant>
      <vt:variant>
        <vt:i4>5</vt:i4>
      </vt:variant>
      <vt:variant>
        <vt:lpwstr/>
      </vt:variant>
      <vt:variant>
        <vt:lpwstr>_Toc240249531</vt:lpwstr>
      </vt:variant>
      <vt:variant>
        <vt:i4>1769523</vt:i4>
      </vt:variant>
      <vt:variant>
        <vt:i4>914</vt:i4>
      </vt:variant>
      <vt:variant>
        <vt:i4>0</vt:i4>
      </vt:variant>
      <vt:variant>
        <vt:i4>5</vt:i4>
      </vt:variant>
      <vt:variant>
        <vt:lpwstr/>
      </vt:variant>
      <vt:variant>
        <vt:lpwstr>_Toc240249530</vt:lpwstr>
      </vt:variant>
      <vt:variant>
        <vt:i4>1703987</vt:i4>
      </vt:variant>
      <vt:variant>
        <vt:i4>908</vt:i4>
      </vt:variant>
      <vt:variant>
        <vt:i4>0</vt:i4>
      </vt:variant>
      <vt:variant>
        <vt:i4>5</vt:i4>
      </vt:variant>
      <vt:variant>
        <vt:lpwstr/>
      </vt:variant>
      <vt:variant>
        <vt:lpwstr>_Toc240249529</vt:lpwstr>
      </vt:variant>
      <vt:variant>
        <vt:i4>1703987</vt:i4>
      </vt:variant>
      <vt:variant>
        <vt:i4>902</vt:i4>
      </vt:variant>
      <vt:variant>
        <vt:i4>0</vt:i4>
      </vt:variant>
      <vt:variant>
        <vt:i4>5</vt:i4>
      </vt:variant>
      <vt:variant>
        <vt:lpwstr/>
      </vt:variant>
      <vt:variant>
        <vt:lpwstr>_Toc240249528</vt:lpwstr>
      </vt:variant>
      <vt:variant>
        <vt:i4>1703987</vt:i4>
      </vt:variant>
      <vt:variant>
        <vt:i4>896</vt:i4>
      </vt:variant>
      <vt:variant>
        <vt:i4>0</vt:i4>
      </vt:variant>
      <vt:variant>
        <vt:i4>5</vt:i4>
      </vt:variant>
      <vt:variant>
        <vt:lpwstr/>
      </vt:variant>
      <vt:variant>
        <vt:lpwstr>_Toc240249527</vt:lpwstr>
      </vt:variant>
      <vt:variant>
        <vt:i4>1703987</vt:i4>
      </vt:variant>
      <vt:variant>
        <vt:i4>890</vt:i4>
      </vt:variant>
      <vt:variant>
        <vt:i4>0</vt:i4>
      </vt:variant>
      <vt:variant>
        <vt:i4>5</vt:i4>
      </vt:variant>
      <vt:variant>
        <vt:lpwstr/>
      </vt:variant>
      <vt:variant>
        <vt:lpwstr>_Toc240249526</vt:lpwstr>
      </vt:variant>
      <vt:variant>
        <vt:i4>1703987</vt:i4>
      </vt:variant>
      <vt:variant>
        <vt:i4>884</vt:i4>
      </vt:variant>
      <vt:variant>
        <vt:i4>0</vt:i4>
      </vt:variant>
      <vt:variant>
        <vt:i4>5</vt:i4>
      </vt:variant>
      <vt:variant>
        <vt:lpwstr/>
      </vt:variant>
      <vt:variant>
        <vt:lpwstr>_Toc240249525</vt:lpwstr>
      </vt:variant>
      <vt:variant>
        <vt:i4>1703987</vt:i4>
      </vt:variant>
      <vt:variant>
        <vt:i4>878</vt:i4>
      </vt:variant>
      <vt:variant>
        <vt:i4>0</vt:i4>
      </vt:variant>
      <vt:variant>
        <vt:i4>5</vt:i4>
      </vt:variant>
      <vt:variant>
        <vt:lpwstr/>
      </vt:variant>
      <vt:variant>
        <vt:lpwstr>_Toc240249524</vt:lpwstr>
      </vt:variant>
      <vt:variant>
        <vt:i4>1703987</vt:i4>
      </vt:variant>
      <vt:variant>
        <vt:i4>872</vt:i4>
      </vt:variant>
      <vt:variant>
        <vt:i4>0</vt:i4>
      </vt:variant>
      <vt:variant>
        <vt:i4>5</vt:i4>
      </vt:variant>
      <vt:variant>
        <vt:lpwstr/>
      </vt:variant>
      <vt:variant>
        <vt:lpwstr>_Toc240249523</vt:lpwstr>
      </vt:variant>
      <vt:variant>
        <vt:i4>1703987</vt:i4>
      </vt:variant>
      <vt:variant>
        <vt:i4>866</vt:i4>
      </vt:variant>
      <vt:variant>
        <vt:i4>0</vt:i4>
      </vt:variant>
      <vt:variant>
        <vt:i4>5</vt:i4>
      </vt:variant>
      <vt:variant>
        <vt:lpwstr/>
      </vt:variant>
      <vt:variant>
        <vt:lpwstr>_Toc240249522</vt:lpwstr>
      </vt:variant>
      <vt:variant>
        <vt:i4>1703987</vt:i4>
      </vt:variant>
      <vt:variant>
        <vt:i4>860</vt:i4>
      </vt:variant>
      <vt:variant>
        <vt:i4>0</vt:i4>
      </vt:variant>
      <vt:variant>
        <vt:i4>5</vt:i4>
      </vt:variant>
      <vt:variant>
        <vt:lpwstr/>
      </vt:variant>
      <vt:variant>
        <vt:lpwstr>_Toc240249521</vt:lpwstr>
      </vt:variant>
      <vt:variant>
        <vt:i4>1703987</vt:i4>
      </vt:variant>
      <vt:variant>
        <vt:i4>854</vt:i4>
      </vt:variant>
      <vt:variant>
        <vt:i4>0</vt:i4>
      </vt:variant>
      <vt:variant>
        <vt:i4>5</vt:i4>
      </vt:variant>
      <vt:variant>
        <vt:lpwstr/>
      </vt:variant>
      <vt:variant>
        <vt:lpwstr>_Toc240249520</vt:lpwstr>
      </vt:variant>
      <vt:variant>
        <vt:i4>1638451</vt:i4>
      </vt:variant>
      <vt:variant>
        <vt:i4>848</vt:i4>
      </vt:variant>
      <vt:variant>
        <vt:i4>0</vt:i4>
      </vt:variant>
      <vt:variant>
        <vt:i4>5</vt:i4>
      </vt:variant>
      <vt:variant>
        <vt:lpwstr/>
      </vt:variant>
      <vt:variant>
        <vt:lpwstr>_Toc240249519</vt:lpwstr>
      </vt:variant>
      <vt:variant>
        <vt:i4>1638451</vt:i4>
      </vt:variant>
      <vt:variant>
        <vt:i4>842</vt:i4>
      </vt:variant>
      <vt:variant>
        <vt:i4>0</vt:i4>
      </vt:variant>
      <vt:variant>
        <vt:i4>5</vt:i4>
      </vt:variant>
      <vt:variant>
        <vt:lpwstr/>
      </vt:variant>
      <vt:variant>
        <vt:lpwstr>_Toc240249518</vt:lpwstr>
      </vt:variant>
      <vt:variant>
        <vt:i4>1638451</vt:i4>
      </vt:variant>
      <vt:variant>
        <vt:i4>836</vt:i4>
      </vt:variant>
      <vt:variant>
        <vt:i4>0</vt:i4>
      </vt:variant>
      <vt:variant>
        <vt:i4>5</vt:i4>
      </vt:variant>
      <vt:variant>
        <vt:lpwstr/>
      </vt:variant>
      <vt:variant>
        <vt:lpwstr>_Toc240249517</vt:lpwstr>
      </vt:variant>
      <vt:variant>
        <vt:i4>1638451</vt:i4>
      </vt:variant>
      <vt:variant>
        <vt:i4>830</vt:i4>
      </vt:variant>
      <vt:variant>
        <vt:i4>0</vt:i4>
      </vt:variant>
      <vt:variant>
        <vt:i4>5</vt:i4>
      </vt:variant>
      <vt:variant>
        <vt:lpwstr/>
      </vt:variant>
      <vt:variant>
        <vt:lpwstr>_Toc240249516</vt:lpwstr>
      </vt:variant>
      <vt:variant>
        <vt:i4>1638451</vt:i4>
      </vt:variant>
      <vt:variant>
        <vt:i4>824</vt:i4>
      </vt:variant>
      <vt:variant>
        <vt:i4>0</vt:i4>
      </vt:variant>
      <vt:variant>
        <vt:i4>5</vt:i4>
      </vt:variant>
      <vt:variant>
        <vt:lpwstr/>
      </vt:variant>
      <vt:variant>
        <vt:lpwstr>_Toc240249515</vt:lpwstr>
      </vt:variant>
      <vt:variant>
        <vt:i4>1638451</vt:i4>
      </vt:variant>
      <vt:variant>
        <vt:i4>818</vt:i4>
      </vt:variant>
      <vt:variant>
        <vt:i4>0</vt:i4>
      </vt:variant>
      <vt:variant>
        <vt:i4>5</vt:i4>
      </vt:variant>
      <vt:variant>
        <vt:lpwstr/>
      </vt:variant>
      <vt:variant>
        <vt:lpwstr>_Toc240249514</vt:lpwstr>
      </vt:variant>
      <vt:variant>
        <vt:i4>1638451</vt:i4>
      </vt:variant>
      <vt:variant>
        <vt:i4>812</vt:i4>
      </vt:variant>
      <vt:variant>
        <vt:i4>0</vt:i4>
      </vt:variant>
      <vt:variant>
        <vt:i4>5</vt:i4>
      </vt:variant>
      <vt:variant>
        <vt:lpwstr/>
      </vt:variant>
      <vt:variant>
        <vt:lpwstr>_Toc240249513</vt:lpwstr>
      </vt:variant>
      <vt:variant>
        <vt:i4>1638451</vt:i4>
      </vt:variant>
      <vt:variant>
        <vt:i4>806</vt:i4>
      </vt:variant>
      <vt:variant>
        <vt:i4>0</vt:i4>
      </vt:variant>
      <vt:variant>
        <vt:i4>5</vt:i4>
      </vt:variant>
      <vt:variant>
        <vt:lpwstr/>
      </vt:variant>
      <vt:variant>
        <vt:lpwstr>_Toc240249512</vt:lpwstr>
      </vt:variant>
      <vt:variant>
        <vt:i4>1638451</vt:i4>
      </vt:variant>
      <vt:variant>
        <vt:i4>800</vt:i4>
      </vt:variant>
      <vt:variant>
        <vt:i4>0</vt:i4>
      </vt:variant>
      <vt:variant>
        <vt:i4>5</vt:i4>
      </vt:variant>
      <vt:variant>
        <vt:lpwstr/>
      </vt:variant>
      <vt:variant>
        <vt:lpwstr>_Toc240249511</vt:lpwstr>
      </vt:variant>
      <vt:variant>
        <vt:i4>1638451</vt:i4>
      </vt:variant>
      <vt:variant>
        <vt:i4>794</vt:i4>
      </vt:variant>
      <vt:variant>
        <vt:i4>0</vt:i4>
      </vt:variant>
      <vt:variant>
        <vt:i4>5</vt:i4>
      </vt:variant>
      <vt:variant>
        <vt:lpwstr/>
      </vt:variant>
      <vt:variant>
        <vt:lpwstr>_Toc240249510</vt:lpwstr>
      </vt:variant>
      <vt:variant>
        <vt:i4>1572915</vt:i4>
      </vt:variant>
      <vt:variant>
        <vt:i4>788</vt:i4>
      </vt:variant>
      <vt:variant>
        <vt:i4>0</vt:i4>
      </vt:variant>
      <vt:variant>
        <vt:i4>5</vt:i4>
      </vt:variant>
      <vt:variant>
        <vt:lpwstr/>
      </vt:variant>
      <vt:variant>
        <vt:lpwstr>_Toc240249509</vt:lpwstr>
      </vt:variant>
      <vt:variant>
        <vt:i4>1572915</vt:i4>
      </vt:variant>
      <vt:variant>
        <vt:i4>782</vt:i4>
      </vt:variant>
      <vt:variant>
        <vt:i4>0</vt:i4>
      </vt:variant>
      <vt:variant>
        <vt:i4>5</vt:i4>
      </vt:variant>
      <vt:variant>
        <vt:lpwstr/>
      </vt:variant>
      <vt:variant>
        <vt:lpwstr>_Toc240249508</vt:lpwstr>
      </vt:variant>
      <vt:variant>
        <vt:i4>1572915</vt:i4>
      </vt:variant>
      <vt:variant>
        <vt:i4>776</vt:i4>
      </vt:variant>
      <vt:variant>
        <vt:i4>0</vt:i4>
      </vt:variant>
      <vt:variant>
        <vt:i4>5</vt:i4>
      </vt:variant>
      <vt:variant>
        <vt:lpwstr/>
      </vt:variant>
      <vt:variant>
        <vt:lpwstr>_Toc240249507</vt:lpwstr>
      </vt:variant>
      <vt:variant>
        <vt:i4>1572915</vt:i4>
      </vt:variant>
      <vt:variant>
        <vt:i4>770</vt:i4>
      </vt:variant>
      <vt:variant>
        <vt:i4>0</vt:i4>
      </vt:variant>
      <vt:variant>
        <vt:i4>5</vt:i4>
      </vt:variant>
      <vt:variant>
        <vt:lpwstr/>
      </vt:variant>
      <vt:variant>
        <vt:lpwstr>_Toc240249506</vt:lpwstr>
      </vt:variant>
      <vt:variant>
        <vt:i4>1572915</vt:i4>
      </vt:variant>
      <vt:variant>
        <vt:i4>764</vt:i4>
      </vt:variant>
      <vt:variant>
        <vt:i4>0</vt:i4>
      </vt:variant>
      <vt:variant>
        <vt:i4>5</vt:i4>
      </vt:variant>
      <vt:variant>
        <vt:lpwstr/>
      </vt:variant>
      <vt:variant>
        <vt:lpwstr>_Toc240249505</vt:lpwstr>
      </vt:variant>
      <vt:variant>
        <vt:i4>1572915</vt:i4>
      </vt:variant>
      <vt:variant>
        <vt:i4>758</vt:i4>
      </vt:variant>
      <vt:variant>
        <vt:i4>0</vt:i4>
      </vt:variant>
      <vt:variant>
        <vt:i4>5</vt:i4>
      </vt:variant>
      <vt:variant>
        <vt:lpwstr/>
      </vt:variant>
      <vt:variant>
        <vt:lpwstr>_Toc240249504</vt:lpwstr>
      </vt:variant>
      <vt:variant>
        <vt:i4>1572915</vt:i4>
      </vt:variant>
      <vt:variant>
        <vt:i4>752</vt:i4>
      </vt:variant>
      <vt:variant>
        <vt:i4>0</vt:i4>
      </vt:variant>
      <vt:variant>
        <vt:i4>5</vt:i4>
      </vt:variant>
      <vt:variant>
        <vt:lpwstr/>
      </vt:variant>
      <vt:variant>
        <vt:lpwstr>_Toc240249503</vt:lpwstr>
      </vt:variant>
      <vt:variant>
        <vt:i4>1572915</vt:i4>
      </vt:variant>
      <vt:variant>
        <vt:i4>746</vt:i4>
      </vt:variant>
      <vt:variant>
        <vt:i4>0</vt:i4>
      </vt:variant>
      <vt:variant>
        <vt:i4>5</vt:i4>
      </vt:variant>
      <vt:variant>
        <vt:lpwstr/>
      </vt:variant>
      <vt:variant>
        <vt:lpwstr>_Toc240249502</vt:lpwstr>
      </vt:variant>
      <vt:variant>
        <vt:i4>1572915</vt:i4>
      </vt:variant>
      <vt:variant>
        <vt:i4>740</vt:i4>
      </vt:variant>
      <vt:variant>
        <vt:i4>0</vt:i4>
      </vt:variant>
      <vt:variant>
        <vt:i4>5</vt:i4>
      </vt:variant>
      <vt:variant>
        <vt:lpwstr/>
      </vt:variant>
      <vt:variant>
        <vt:lpwstr>_Toc240249501</vt:lpwstr>
      </vt:variant>
      <vt:variant>
        <vt:i4>1572915</vt:i4>
      </vt:variant>
      <vt:variant>
        <vt:i4>734</vt:i4>
      </vt:variant>
      <vt:variant>
        <vt:i4>0</vt:i4>
      </vt:variant>
      <vt:variant>
        <vt:i4>5</vt:i4>
      </vt:variant>
      <vt:variant>
        <vt:lpwstr/>
      </vt:variant>
      <vt:variant>
        <vt:lpwstr>_Toc240249500</vt:lpwstr>
      </vt:variant>
      <vt:variant>
        <vt:i4>1114162</vt:i4>
      </vt:variant>
      <vt:variant>
        <vt:i4>728</vt:i4>
      </vt:variant>
      <vt:variant>
        <vt:i4>0</vt:i4>
      </vt:variant>
      <vt:variant>
        <vt:i4>5</vt:i4>
      </vt:variant>
      <vt:variant>
        <vt:lpwstr/>
      </vt:variant>
      <vt:variant>
        <vt:lpwstr>_Toc240249499</vt:lpwstr>
      </vt:variant>
      <vt:variant>
        <vt:i4>1114162</vt:i4>
      </vt:variant>
      <vt:variant>
        <vt:i4>722</vt:i4>
      </vt:variant>
      <vt:variant>
        <vt:i4>0</vt:i4>
      </vt:variant>
      <vt:variant>
        <vt:i4>5</vt:i4>
      </vt:variant>
      <vt:variant>
        <vt:lpwstr/>
      </vt:variant>
      <vt:variant>
        <vt:lpwstr>_Toc240249498</vt:lpwstr>
      </vt:variant>
      <vt:variant>
        <vt:i4>1114162</vt:i4>
      </vt:variant>
      <vt:variant>
        <vt:i4>716</vt:i4>
      </vt:variant>
      <vt:variant>
        <vt:i4>0</vt:i4>
      </vt:variant>
      <vt:variant>
        <vt:i4>5</vt:i4>
      </vt:variant>
      <vt:variant>
        <vt:lpwstr/>
      </vt:variant>
      <vt:variant>
        <vt:lpwstr>_Toc240249497</vt:lpwstr>
      </vt:variant>
      <vt:variant>
        <vt:i4>1114162</vt:i4>
      </vt:variant>
      <vt:variant>
        <vt:i4>710</vt:i4>
      </vt:variant>
      <vt:variant>
        <vt:i4>0</vt:i4>
      </vt:variant>
      <vt:variant>
        <vt:i4>5</vt:i4>
      </vt:variant>
      <vt:variant>
        <vt:lpwstr/>
      </vt:variant>
      <vt:variant>
        <vt:lpwstr>_Toc240249496</vt:lpwstr>
      </vt:variant>
      <vt:variant>
        <vt:i4>1114162</vt:i4>
      </vt:variant>
      <vt:variant>
        <vt:i4>704</vt:i4>
      </vt:variant>
      <vt:variant>
        <vt:i4>0</vt:i4>
      </vt:variant>
      <vt:variant>
        <vt:i4>5</vt:i4>
      </vt:variant>
      <vt:variant>
        <vt:lpwstr/>
      </vt:variant>
      <vt:variant>
        <vt:lpwstr>_Toc240249495</vt:lpwstr>
      </vt:variant>
      <vt:variant>
        <vt:i4>1114162</vt:i4>
      </vt:variant>
      <vt:variant>
        <vt:i4>698</vt:i4>
      </vt:variant>
      <vt:variant>
        <vt:i4>0</vt:i4>
      </vt:variant>
      <vt:variant>
        <vt:i4>5</vt:i4>
      </vt:variant>
      <vt:variant>
        <vt:lpwstr/>
      </vt:variant>
      <vt:variant>
        <vt:lpwstr>_Toc240249494</vt:lpwstr>
      </vt:variant>
      <vt:variant>
        <vt:i4>1114162</vt:i4>
      </vt:variant>
      <vt:variant>
        <vt:i4>692</vt:i4>
      </vt:variant>
      <vt:variant>
        <vt:i4>0</vt:i4>
      </vt:variant>
      <vt:variant>
        <vt:i4>5</vt:i4>
      </vt:variant>
      <vt:variant>
        <vt:lpwstr/>
      </vt:variant>
      <vt:variant>
        <vt:lpwstr>_Toc240249493</vt:lpwstr>
      </vt:variant>
      <vt:variant>
        <vt:i4>1114162</vt:i4>
      </vt:variant>
      <vt:variant>
        <vt:i4>686</vt:i4>
      </vt:variant>
      <vt:variant>
        <vt:i4>0</vt:i4>
      </vt:variant>
      <vt:variant>
        <vt:i4>5</vt:i4>
      </vt:variant>
      <vt:variant>
        <vt:lpwstr/>
      </vt:variant>
      <vt:variant>
        <vt:lpwstr>_Toc240249492</vt:lpwstr>
      </vt:variant>
      <vt:variant>
        <vt:i4>1114162</vt:i4>
      </vt:variant>
      <vt:variant>
        <vt:i4>680</vt:i4>
      </vt:variant>
      <vt:variant>
        <vt:i4>0</vt:i4>
      </vt:variant>
      <vt:variant>
        <vt:i4>5</vt:i4>
      </vt:variant>
      <vt:variant>
        <vt:lpwstr/>
      </vt:variant>
      <vt:variant>
        <vt:lpwstr>_Toc240249491</vt:lpwstr>
      </vt:variant>
      <vt:variant>
        <vt:i4>1114162</vt:i4>
      </vt:variant>
      <vt:variant>
        <vt:i4>674</vt:i4>
      </vt:variant>
      <vt:variant>
        <vt:i4>0</vt:i4>
      </vt:variant>
      <vt:variant>
        <vt:i4>5</vt:i4>
      </vt:variant>
      <vt:variant>
        <vt:lpwstr/>
      </vt:variant>
      <vt:variant>
        <vt:lpwstr>_Toc240249490</vt:lpwstr>
      </vt:variant>
      <vt:variant>
        <vt:i4>1048626</vt:i4>
      </vt:variant>
      <vt:variant>
        <vt:i4>668</vt:i4>
      </vt:variant>
      <vt:variant>
        <vt:i4>0</vt:i4>
      </vt:variant>
      <vt:variant>
        <vt:i4>5</vt:i4>
      </vt:variant>
      <vt:variant>
        <vt:lpwstr/>
      </vt:variant>
      <vt:variant>
        <vt:lpwstr>_Toc240249489</vt:lpwstr>
      </vt:variant>
      <vt:variant>
        <vt:i4>1048626</vt:i4>
      </vt:variant>
      <vt:variant>
        <vt:i4>662</vt:i4>
      </vt:variant>
      <vt:variant>
        <vt:i4>0</vt:i4>
      </vt:variant>
      <vt:variant>
        <vt:i4>5</vt:i4>
      </vt:variant>
      <vt:variant>
        <vt:lpwstr/>
      </vt:variant>
      <vt:variant>
        <vt:lpwstr>_Toc240249488</vt:lpwstr>
      </vt:variant>
      <vt:variant>
        <vt:i4>1048626</vt:i4>
      </vt:variant>
      <vt:variant>
        <vt:i4>656</vt:i4>
      </vt:variant>
      <vt:variant>
        <vt:i4>0</vt:i4>
      </vt:variant>
      <vt:variant>
        <vt:i4>5</vt:i4>
      </vt:variant>
      <vt:variant>
        <vt:lpwstr/>
      </vt:variant>
      <vt:variant>
        <vt:lpwstr>_Toc240249487</vt:lpwstr>
      </vt:variant>
      <vt:variant>
        <vt:i4>1048626</vt:i4>
      </vt:variant>
      <vt:variant>
        <vt:i4>650</vt:i4>
      </vt:variant>
      <vt:variant>
        <vt:i4>0</vt:i4>
      </vt:variant>
      <vt:variant>
        <vt:i4>5</vt:i4>
      </vt:variant>
      <vt:variant>
        <vt:lpwstr/>
      </vt:variant>
      <vt:variant>
        <vt:lpwstr>_Toc240249486</vt:lpwstr>
      </vt:variant>
      <vt:variant>
        <vt:i4>1048626</vt:i4>
      </vt:variant>
      <vt:variant>
        <vt:i4>644</vt:i4>
      </vt:variant>
      <vt:variant>
        <vt:i4>0</vt:i4>
      </vt:variant>
      <vt:variant>
        <vt:i4>5</vt:i4>
      </vt:variant>
      <vt:variant>
        <vt:lpwstr/>
      </vt:variant>
      <vt:variant>
        <vt:lpwstr>_Toc240249485</vt:lpwstr>
      </vt:variant>
      <vt:variant>
        <vt:i4>1048626</vt:i4>
      </vt:variant>
      <vt:variant>
        <vt:i4>638</vt:i4>
      </vt:variant>
      <vt:variant>
        <vt:i4>0</vt:i4>
      </vt:variant>
      <vt:variant>
        <vt:i4>5</vt:i4>
      </vt:variant>
      <vt:variant>
        <vt:lpwstr/>
      </vt:variant>
      <vt:variant>
        <vt:lpwstr>_Toc240249484</vt:lpwstr>
      </vt:variant>
      <vt:variant>
        <vt:i4>1048626</vt:i4>
      </vt:variant>
      <vt:variant>
        <vt:i4>632</vt:i4>
      </vt:variant>
      <vt:variant>
        <vt:i4>0</vt:i4>
      </vt:variant>
      <vt:variant>
        <vt:i4>5</vt:i4>
      </vt:variant>
      <vt:variant>
        <vt:lpwstr/>
      </vt:variant>
      <vt:variant>
        <vt:lpwstr>_Toc240249483</vt:lpwstr>
      </vt:variant>
      <vt:variant>
        <vt:i4>1048626</vt:i4>
      </vt:variant>
      <vt:variant>
        <vt:i4>626</vt:i4>
      </vt:variant>
      <vt:variant>
        <vt:i4>0</vt:i4>
      </vt:variant>
      <vt:variant>
        <vt:i4>5</vt:i4>
      </vt:variant>
      <vt:variant>
        <vt:lpwstr/>
      </vt:variant>
      <vt:variant>
        <vt:lpwstr>_Toc240249482</vt:lpwstr>
      </vt:variant>
      <vt:variant>
        <vt:i4>1048626</vt:i4>
      </vt:variant>
      <vt:variant>
        <vt:i4>620</vt:i4>
      </vt:variant>
      <vt:variant>
        <vt:i4>0</vt:i4>
      </vt:variant>
      <vt:variant>
        <vt:i4>5</vt:i4>
      </vt:variant>
      <vt:variant>
        <vt:lpwstr/>
      </vt:variant>
      <vt:variant>
        <vt:lpwstr>_Toc240249481</vt:lpwstr>
      </vt:variant>
      <vt:variant>
        <vt:i4>1048626</vt:i4>
      </vt:variant>
      <vt:variant>
        <vt:i4>614</vt:i4>
      </vt:variant>
      <vt:variant>
        <vt:i4>0</vt:i4>
      </vt:variant>
      <vt:variant>
        <vt:i4>5</vt:i4>
      </vt:variant>
      <vt:variant>
        <vt:lpwstr/>
      </vt:variant>
      <vt:variant>
        <vt:lpwstr>_Toc240249480</vt:lpwstr>
      </vt:variant>
      <vt:variant>
        <vt:i4>2031666</vt:i4>
      </vt:variant>
      <vt:variant>
        <vt:i4>608</vt:i4>
      </vt:variant>
      <vt:variant>
        <vt:i4>0</vt:i4>
      </vt:variant>
      <vt:variant>
        <vt:i4>5</vt:i4>
      </vt:variant>
      <vt:variant>
        <vt:lpwstr/>
      </vt:variant>
      <vt:variant>
        <vt:lpwstr>_Toc240249479</vt:lpwstr>
      </vt:variant>
      <vt:variant>
        <vt:i4>2031666</vt:i4>
      </vt:variant>
      <vt:variant>
        <vt:i4>602</vt:i4>
      </vt:variant>
      <vt:variant>
        <vt:i4>0</vt:i4>
      </vt:variant>
      <vt:variant>
        <vt:i4>5</vt:i4>
      </vt:variant>
      <vt:variant>
        <vt:lpwstr/>
      </vt:variant>
      <vt:variant>
        <vt:lpwstr>_Toc240249478</vt:lpwstr>
      </vt:variant>
      <vt:variant>
        <vt:i4>2031666</vt:i4>
      </vt:variant>
      <vt:variant>
        <vt:i4>596</vt:i4>
      </vt:variant>
      <vt:variant>
        <vt:i4>0</vt:i4>
      </vt:variant>
      <vt:variant>
        <vt:i4>5</vt:i4>
      </vt:variant>
      <vt:variant>
        <vt:lpwstr/>
      </vt:variant>
      <vt:variant>
        <vt:lpwstr>_Toc240249477</vt:lpwstr>
      </vt:variant>
      <vt:variant>
        <vt:i4>2031666</vt:i4>
      </vt:variant>
      <vt:variant>
        <vt:i4>590</vt:i4>
      </vt:variant>
      <vt:variant>
        <vt:i4>0</vt:i4>
      </vt:variant>
      <vt:variant>
        <vt:i4>5</vt:i4>
      </vt:variant>
      <vt:variant>
        <vt:lpwstr/>
      </vt:variant>
      <vt:variant>
        <vt:lpwstr>_Toc240249476</vt:lpwstr>
      </vt:variant>
      <vt:variant>
        <vt:i4>2031666</vt:i4>
      </vt:variant>
      <vt:variant>
        <vt:i4>584</vt:i4>
      </vt:variant>
      <vt:variant>
        <vt:i4>0</vt:i4>
      </vt:variant>
      <vt:variant>
        <vt:i4>5</vt:i4>
      </vt:variant>
      <vt:variant>
        <vt:lpwstr/>
      </vt:variant>
      <vt:variant>
        <vt:lpwstr>_Toc240249475</vt:lpwstr>
      </vt:variant>
      <vt:variant>
        <vt:i4>2031666</vt:i4>
      </vt:variant>
      <vt:variant>
        <vt:i4>578</vt:i4>
      </vt:variant>
      <vt:variant>
        <vt:i4>0</vt:i4>
      </vt:variant>
      <vt:variant>
        <vt:i4>5</vt:i4>
      </vt:variant>
      <vt:variant>
        <vt:lpwstr/>
      </vt:variant>
      <vt:variant>
        <vt:lpwstr>_Toc240249474</vt:lpwstr>
      </vt:variant>
      <vt:variant>
        <vt:i4>2031666</vt:i4>
      </vt:variant>
      <vt:variant>
        <vt:i4>572</vt:i4>
      </vt:variant>
      <vt:variant>
        <vt:i4>0</vt:i4>
      </vt:variant>
      <vt:variant>
        <vt:i4>5</vt:i4>
      </vt:variant>
      <vt:variant>
        <vt:lpwstr/>
      </vt:variant>
      <vt:variant>
        <vt:lpwstr>_Toc240249473</vt:lpwstr>
      </vt:variant>
      <vt:variant>
        <vt:i4>2031666</vt:i4>
      </vt:variant>
      <vt:variant>
        <vt:i4>566</vt:i4>
      </vt:variant>
      <vt:variant>
        <vt:i4>0</vt:i4>
      </vt:variant>
      <vt:variant>
        <vt:i4>5</vt:i4>
      </vt:variant>
      <vt:variant>
        <vt:lpwstr/>
      </vt:variant>
      <vt:variant>
        <vt:lpwstr>_Toc240249472</vt:lpwstr>
      </vt:variant>
      <vt:variant>
        <vt:i4>2031666</vt:i4>
      </vt:variant>
      <vt:variant>
        <vt:i4>560</vt:i4>
      </vt:variant>
      <vt:variant>
        <vt:i4>0</vt:i4>
      </vt:variant>
      <vt:variant>
        <vt:i4>5</vt:i4>
      </vt:variant>
      <vt:variant>
        <vt:lpwstr/>
      </vt:variant>
      <vt:variant>
        <vt:lpwstr>_Toc240249471</vt:lpwstr>
      </vt:variant>
      <vt:variant>
        <vt:i4>2031666</vt:i4>
      </vt:variant>
      <vt:variant>
        <vt:i4>554</vt:i4>
      </vt:variant>
      <vt:variant>
        <vt:i4>0</vt:i4>
      </vt:variant>
      <vt:variant>
        <vt:i4>5</vt:i4>
      </vt:variant>
      <vt:variant>
        <vt:lpwstr/>
      </vt:variant>
      <vt:variant>
        <vt:lpwstr>_Toc240249470</vt:lpwstr>
      </vt:variant>
      <vt:variant>
        <vt:i4>1966130</vt:i4>
      </vt:variant>
      <vt:variant>
        <vt:i4>548</vt:i4>
      </vt:variant>
      <vt:variant>
        <vt:i4>0</vt:i4>
      </vt:variant>
      <vt:variant>
        <vt:i4>5</vt:i4>
      </vt:variant>
      <vt:variant>
        <vt:lpwstr/>
      </vt:variant>
      <vt:variant>
        <vt:lpwstr>_Toc240249469</vt:lpwstr>
      </vt:variant>
      <vt:variant>
        <vt:i4>1966130</vt:i4>
      </vt:variant>
      <vt:variant>
        <vt:i4>542</vt:i4>
      </vt:variant>
      <vt:variant>
        <vt:i4>0</vt:i4>
      </vt:variant>
      <vt:variant>
        <vt:i4>5</vt:i4>
      </vt:variant>
      <vt:variant>
        <vt:lpwstr/>
      </vt:variant>
      <vt:variant>
        <vt:lpwstr>_Toc240249468</vt:lpwstr>
      </vt:variant>
      <vt:variant>
        <vt:i4>1966130</vt:i4>
      </vt:variant>
      <vt:variant>
        <vt:i4>536</vt:i4>
      </vt:variant>
      <vt:variant>
        <vt:i4>0</vt:i4>
      </vt:variant>
      <vt:variant>
        <vt:i4>5</vt:i4>
      </vt:variant>
      <vt:variant>
        <vt:lpwstr/>
      </vt:variant>
      <vt:variant>
        <vt:lpwstr>_Toc240249467</vt:lpwstr>
      </vt:variant>
      <vt:variant>
        <vt:i4>1966130</vt:i4>
      </vt:variant>
      <vt:variant>
        <vt:i4>530</vt:i4>
      </vt:variant>
      <vt:variant>
        <vt:i4>0</vt:i4>
      </vt:variant>
      <vt:variant>
        <vt:i4>5</vt:i4>
      </vt:variant>
      <vt:variant>
        <vt:lpwstr/>
      </vt:variant>
      <vt:variant>
        <vt:lpwstr>_Toc240249466</vt:lpwstr>
      </vt:variant>
      <vt:variant>
        <vt:i4>1966130</vt:i4>
      </vt:variant>
      <vt:variant>
        <vt:i4>524</vt:i4>
      </vt:variant>
      <vt:variant>
        <vt:i4>0</vt:i4>
      </vt:variant>
      <vt:variant>
        <vt:i4>5</vt:i4>
      </vt:variant>
      <vt:variant>
        <vt:lpwstr/>
      </vt:variant>
      <vt:variant>
        <vt:lpwstr>_Toc240249465</vt:lpwstr>
      </vt:variant>
      <vt:variant>
        <vt:i4>1966130</vt:i4>
      </vt:variant>
      <vt:variant>
        <vt:i4>518</vt:i4>
      </vt:variant>
      <vt:variant>
        <vt:i4>0</vt:i4>
      </vt:variant>
      <vt:variant>
        <vt:i4>5</vt:i4>
      </vt:variant>
      <vt:variant>
        <vt:lpwstr/>
      </vt:variant>
      <vt:variant>
        <vt:lpwstr>_Toc240249464</vt:lpwstr>
      </vt:variant>
      <vt:variant>
        <vt:i4>1966130</vt:i4>
      </vt:variant>
      <vt:variant>
        <vt:i4>512</vt:i4>
      </vt:variant>
      <vt:variant>
        <vt:i4>0</vt:i4>
      </vt:variant>
      <vt:variant>
        <vt:i4>5</vt:i4>
      </vt:variant>
      <vt:variant>
        <vt:lpwstr/>
      </vt:variant>
      <vt:variant>
        <vt:lpwstr>_Toc240249463</vt:lpwstr>
      </vt:variant>
      <vt:variant>
        <vt:i4>1966130</vt:i4>
      </vt:variant>
      <vt:variant>
        <vt:i4>506</vt:i4>
      </vt:variant>
      <vt:variant>
        <vt:i4>0</vt:i4>
      </vt:variant>
      <vt:variant>
        <vt:i4>5</vt:i4>
      </vt:variant>
      <vt:variant>
        <vt:lpwstr/>
      </vt:variant>
      <vt:variant>
        <vt:lpwstr>_Toc240249462</vt:lpwstr>
      </vt:variant>
      <vt:variant>
        <vt:i4>1966130</vt:i4>
      </vt:variant>
      <vt:variant>
        <vt:i4>500</vt:i4>
      </vt:variant>
      <vt:variant>
        <vt:i4>0</vt:i4>
      </vt:variant>
      <vt:variant>
        <vt:i4>5</vt:i4>
      </vt:variant>
      <vt:variant>
        <vt:lpwstr/>
      </vt:variant>
      <vt:variant>
        <vt:lpwstr>_Toc240249461</vt:lpwstr>
      </vt:variant>
      <vt:variant>
        <vt:i4>1966130</vt:i4>
      </vt:variant>
      <vt:variant>
        <vt:i4>494</vt:i4>
      </vt:variant>
      <vt:variant>
        <vt:i4>0</vt:i4>
      </vt:variant>
      <vt:variant>
        <vt:i4>5</vt:i4>
      </vt:variant>
      <vt:variant>
        <vt:lpwstr/>
      </vt:variant>
      <vt:variant>
        <vt:lpwstr>_Toc240249460</vt:lpwstr>
      </vt:variant>
      <vt:variant>
        <vt:i4>1900594</vt:i4>
      </vt:variant>
      <vt:variant>
        <vt:i4>488</vt:i4>
      </vt:variant>
      <vt:variant>
        <vt:i4>0</vt:i4>
      </vt:variant>
      <vt:variant>
        <vt:i4>5</vt:i4>
      </vt:variant>
      <vt:variant>
        <vt:lpwstr/>
      </vt:variant>
      <vt:variant>
        <vt:lpwstr>_Toc240249459</vt:lpwstr>
      </vt:variant>
      <vt:variant>
        <vt:i4>1900594</vt:i4>
      </vt:variant>
      <vt:variant>
        <vt:i4>482</vt:i4>
      </vt:variant>
      <vt:variant>
        <vt:i4>0</vt:i4>
      </vt:variant>
      <vt:variant>
        <vt:i4>5</vt:i4>
      </vt:variant>
      <vt:variant>
        <vt:lpwstr/>
      </vt:variant>
      <vt:variant>
        <vt:lpwstr>_Toc240249458</vt:lpwstr>
      </vt:variant>
      <vt:variant>
        <vt:i4>1900594</vt:i4>
      </vt:variant>
      <vt:variant>
        <vt:i4>476</vt:i4>
      </vt:variant>
      <vt:variant>
        <vt:i4>0</vt:i4>
      </vt:variant>
      <vt:variant>
        <vt:i4>5</vt:i4>
      </vt:variant>
      <vt:variant>
        <vt:lpwstr/>
      </vt:variant>
      <vt:variant>
        <vt:lpwstr>_Toc240249457</vt:lpwstr>
      </vt:variant>
      <vt:variant>
        <vt:i4>1900594</vt:i4>
      </vt:variant>
      <vt:variant>
        <vt:i4>470</vt:i4>
      </vt:variant>
      <vt:variant>
        <vt:i4>0</vt:i4>
      </vt:variant>
      <vt:variant>
        <vt:i4>5</vt:i4>
      </vt:variant>
      <vt:variant>
        <vt:lpwstr/>
      </vt:variant>
      <vt:variant>
        <vt:lpwstr>_Toc240249456</vt:lpwstr>
      </vt:variant>
      <vt:variant>
        <vt:i4>1900594</vt:i4>
      </vt:variant>
      <vt:variant>
        <vt:i4>464</vt:i4>
      </vt:variant>
      <vt:variant>
        <vt:i4>0</vt:i4>
      </vt:variant>
      <vt:variant>
        <vt:i4>5</vt:i4>
      </vt:variant>
      <vt:variant>
        <vt:lpwstr/>
      </vt:variant>
      <vt:variant>
        <vt:lpwstr>_Toc240249455</vt:lpwstr>
      </vt:variant>
      <vt:variant>
        <vt:i4>1900594</vt:i4>
      </vt:variant>
      <vt:variant>
        <vt:i4>458</vt:i4>
      </vt:variant>
      <vt:variant>
        <vt:i4>0</vt:i4>
      </vt:variant>
      <vt:variant>
        <vt:i4>5</vt:i4>
      </vt:variant>
      <vt:variant>
        <vt:lpwstr/>
      </vt:variant>
      <vt:variant>
        <vt:lpwstr>_Toc240249454</vt:lpwstr>
      </vt:variant>
      <vt:variant>
        <vt:i4>1900594</vt:i4>
      </vt:variant>
      <vt:variant>
        <vt:i4>452</vt:i4>
      </vt:variant>
      <vt:variant>
        <vt:i4>0</vt:i4>
      </vt:variant>
      <vt:variant>
        <vt:i4>5</vt:i4>
      </vt:variant>
      <vt:variant>
        <vt:lpwstr/>
      </vt:variant>
      <vt:variant>
        <vt:lpwstr>_Toc240249453</vt:lpwstr>
      </vt:variant>
      <vt:variant>
        <vt:i4>1900594</vt:i4>
      </vt:variant>
      <vt:variant>
        <vt:i4>446</vt:i4>
      </vt:variant>
      <vt:variant>
        <vt:i4>0</vt:i4>
      </vt:variant>
      <vt:variant>
        <vt:i4>5</vt:i4>
      </vt:variant>
      <vt:variant>
        <vt:lpwstr/>
      </vt:variant>
      <vt:variant>
        <vt:lpwstr>_Toc240249452</vt:lpwstr>
      </vt:variant>
      <vt:variant>
        <vt:i4>1900594</vt:i4>
      </vt:variant>
      <vt:variant>
        <vt:i4>440</vt:i4>
      </vt:variant>
      <vt:variant>
        <vt:i4>0</vt:i4>
      </vt:variant>
      <vt:variant>
        <vt:i4>5</vt:i4>
      </vt:variant>
      <vt:variant>
        <vt:lpwstr/>
      </vt:variant>
      <vt:variant>
        <vt:lpwstr>_Toc240249451</vt:lpwstr>
      </vt:variant>
      <vt:variant>
        <vt:i4>1900594</vt:i4>
      </vt:variant>
      <vt:variant>
        <vt:i4>434</vt:i4>
      </vt:variant>
      <vt:variant>
        <vt:i4>0</vt:i4>
      </vt:variant>
      <vt:variant>
        <vt:i4>5</vt:i4>
      </vt:variant>
      <vt:variant>
        <vt:lpwstr/>
      </vt:variant>
      <vt:variant>
        <vt:lpwstr>_Toc240249450</vt:lpwstr>
      </vt:variant>
      <vt:variant>
        <vt:i4>1835058</vt:i4>
      </vt:variant>
      <vt:variant>
        <vt:i4>428</vt:i4>
      </vt:variant>
      <vt:variant>
        <vt:i4>0</vt:i4>
      </vt:variant>
      <vt:variant>
        <vt:i4>5</vt:i4>
      </vt:variant>
      <vt:variant>
        <vt:lpwstr/>
      </vt:variant>
      <vt:variant>
        <vt:lpwstr>_Toc240249449</vt:lpwstr>
      </vt:variant>
      <vt:variant>
        <vt:i4>1835058</vt:i4>
      </vt:variant>
      <vt:variant>
        <vt:i4>422</vt:i4>
      </vt:variant>
      <vt:variant>
        <vt:i4>0</vt:i4>
      </vt:variant>
      <vt:variant>
        <vt:i4>5</vt:i4>
      </vt:variant>
      <vt:variant>
        <vt:lpwstr/>
      </vt:variant>
      <vt:variant>
        <vt:lpwstr>_Toc240249448</vt:lpwstr>
      </vt:variant>
      <vt:variant>
        <vt:i4>1835058</vt:i4>
      </vt:variant>
      <vt:variant>
        <vt:i4>416</vt:i4>
      </vt:variant>
      <vt:variant>
        <vt:i4>0</vt:i4>
      </vt:variant>
      <vt:variant>
        <vt:i4>5</vt:i4>
      </vt:variant>
      <vt:variant>
        <vt:lpwstr/>
      </vt:variant>
      <vt:variant>
        <vt:lpwstr>_Toc240249447</vt:lpwstr>
      </vt:variant>
      <vt:variant>
        <vt:i4>1835058</vt:i4>
      </vt:variant>
      <vt:variant>
        <vt:i4>410</vt:i4>
      </vt:variant>
      <vt:variant>
        <vt:i4>0</vt:i4>
      </vt:variant>
      <vt:variant>
        <vt:i4>5</vt:i4>
      </vt:variant>
      <vt:variant>
        <vt:lpwstr/>
      </vt:variant>
      <vt:variant>
        <vt:lpwstr>_Toc240249446</vt:lpwstr>
      </vt:variant>
      <vt:variant>
        <vt:i4>1835058</vt:i4>
      </vt:variant>
      <vt:variant>
        <vt:i4>404</vt:i4>
      </vt:variant>
      <vt:variant>
        <vt:i4>0</vt:i4>
      </vt:variant>
      <vt:variant>
        <vt:i4>5</vt:i4>
      </vt:variant>
      <vt:variant>
        <vt:lpwstr/>
      </vt:variant>
      <vt:variant>
        <vt:lpwstr>_Toc240249445</vt:lpwstr>
      </vt:variant>
      <vt:variant>
        <vt:i4>1835058</vt:i4>
      </vt:variant>
      <vt:variant>
        <vt:i4>398</vt:i4>
      </vt:variant>
      <vt:variant>
        <vt:i4>0</vt:i4>
      </vt:variant>
      <vt:variant>
        <vt:i4>5</vt:i4>
      </vt:variant>
      <vt:variant>
        <vt:lpwstr/>
      </vt:variant>
      <vt:variant>
        <vt:lpwstr>_Toc240249444</vt:lpwstr>
      </vt:variant>
      <vt:variant>
        <vt:i4>1835058</vt:i4>
      </vt:variant>
      <vt:variant>
        <vt:i4>392</vt:i4>
      </vt:variant>
      <vt:variant>
        <vt:i4>0</vt:i4>
      </vt:variant>
      <vt:variant>
        <vt:i4>5</vt:i4>
      </vt:variant>
      <vt:variant>
        <vt:lpwstr/>
      </vt:variant>
      <vt:variant>
        <vt:lpwstr>_Toc240249443</vt:lpwstr>
      </vt:variant>
      <vt:variant>
        <vt:i4>1835058</vt:i4>
      </vt:variant>
      <vt:variant>
        <vt:i4>386</vt:i4>
      </vt:variant>
      <vt:variant>
        <vt:i4>0</vt:i4>
      </vt:variant>
      <vt:variant>
        <vt:i4>5</vt:i4>
      </vt:variant>
      <vt:variant>
        <vt:lpwstr/>
      </vt:variant>
      <vt:variant>
        <vt:lpwstr>_Toc240249442</vt:lpwstr>
      </vt:variant>
      <vt:variant>
        <vt:i4>1835058</vt:i4>
      </vt:variant>
      <vt:variant>
        <vt:i4>380</vt:i4>
      </vt:variant>
      <vt:variant>
        <vt:i4>0</vt:i4>
      </vt:variant>
      <vt:variant>
        <vt:i4>5</vt:i4>
      </vt:variant>
      <vt:variant>
        <vt:lpwstr/>
      </vt:variant>
      <vt:variant>
        <vt:lpwstr>_Toc240249441</vt:lpwstr>
      </vt:variant>
      <vt:variant>
        <vt:i4>1835058</vt:i4>
      </vt:variant>
      <vt:variant>
        <vt:i4>374</vt:i4>
      </vt:variant>
      <vt:variant>
        <vt:i4>0</vt:i4>
      </vt:variant>
      <vt:variant>
        <vt:i4>5</vt:i4>
      </vt:variant>
      <vt:variant>
        <vt:lpwstr/>
      </vt:variant>
      <vt:variant>
        <vt:lpwstr>_Toc240249440</vt:lpwstr>
      </vt:variant>
      <vt:variant>
        <vt:i4>1769522</vt:i4>
      </vt:variant>
      <vt:variant>
        <vt:i4>368</vt:i4>
      </vt:variant>
      <vt:variant>
        <vt:i4>0</vt:i4>
      </vt:variant>
      <vt:variant>
        <vt:i4>5</vt:i4>
      </vt:variant>
      <vt:variant>
        <vt:lpwstr/>
      </vt:variant>
      <vt:variant>
        <vt:lpwstr>_Toc240249439</vt:lpwstr>
      </vt:variant>
      <vt:variant>
        <vt:i4>1769522</vt:i4>
      </vt:variant>
      <vt:variant>
        <vt:i4>362</vt:i4>
      </vt:variant>
      <vt:variant>
        <vt:i4>0</vt:i4>
      </vt:variant>
      <vt:variant>
        <vt:i4>5</vt:i4>
      </vt:variant>
      <vt:variant>
        <vt:lpwstr/>
      </vt:variant>
      <vt:variant>
        <vt:lpwstr>_Toc240249438</vt:lpwstr>
      </vt:variant>
      <vt:variant>
        <vt:i4>1769522</vt:i4>
      </vt:variant>
      <vt:variant>
        <vt:i4>356</vt:i4>
      </vt:variant>
      <vt:variant>
        <vt:i4>0</vt:i4>
      </vt:variant>
      <vt:variant>
        <vt:i4>5</vt:i4>
      </vt:variant>
      <vt:variant>
        <vt:lpwstr/>
      </vt:variant>
      <vt:variant>
        <vt:lpwstr>_Toc240249437</vt:lpwstr>
      </vt:variant>
      <vt:variant>
        <vt:i4>1769522</vt:i4>
      </vt:variant>
      <vt:variant>
        <vt:i4>350</vt:i4>
      </vt:variant>
      <vt:variant>
        <vt:i4>0</vt:i4>
      </vt:variant>
      <vt:variant>
        <vt:i4>5</vt:i4>
      </vt:variant>
      <vt:variant>
        <vt:lpwstr/>
      </vt:variant>
      <vt:variant>
        <vt:lpwstr>_Toc240249436</vt:lpwstr>
      </vt:variant>
      <vt:variant>
        <vt:i4>1769522</vt:i4>
      </vt:variant>
      <vt:variant>
        <vt:i4>344</vt:i4>
      </vt:variant>
      <vt:variant>
        <vt:i4>0</vt:i4>
      </vt:variant>
      <vt:variant>
        <vt:i4>5</vt:i4>
      </vt:variant>
      <vt:variant>
        <vt:lpwstr/>
      </vt:variant>
      <vt:variant>
        <vt:lpwstr>_Toc240249435</vt:lpwstr>
      </vt:variant>
      <vt:variant>
        <vt:i4>1769522</vt:i4>
      </vt:variant>
      <vt:variant>
        <vt:i4>338</vt:i4>
      </vt:variant>
      <vt:variant>
        <vt:i4>0</vt:i4>
      </vt:variant>
      <vt:variant>
        <vt:i4>5</vt:i4>
      </vt:variant>
      <vt:variant>
        <vt:lpwstr/>
      </vt:variant>
      <vt:variant>
        <vt:lpwstr>_Toc240249434</vt:lpwstr>
      </vt:variant>
      <vt:variant>
        <vt:i4>1769522</vt:i4>
      </vt:variant>
      <vt:variant>
        <vt:i4>332</vt:i4>
      </vt:variant>
      <vt:variant>
        <vt:i4>0</vt:i4>
      </vt:variant>
      <vt:variant>
        <vt:i4>5</vt:i4>
      </vt:variant>
      <vt:variant>
        <vt:lpwstr/>
      </vt:variant>
      <vt:variant>
        <vt:lpwstr>_Toc240249433</vt:lpwstr>
      </vt:variant>
      <vt:variant>
        <vt:i4>1769522</vt:i4>
      </vt:variant>
      <vt:variant>
        <vt:i4>326</vt:i4>
      </vt:variant>
      <vt:variant>
        <vt:i4>0</vt:i4>
      </vt:variant>
      <vt:variant>
        <vt:i4>5</vt:i4>
      </vt:variant>
      <vt:variant>
        <vt:lpwstr/>
      </vt:variant>
      <vt:variant>
        <vt:lpwstr>_Toc240249432</vt:lpwstr>
      </vt:variant>
      <vt:variant>
        <vt:i4>1769522</vt:i4>
      </vt:variant>
      <vt:variant>
        <vt:i4>320</vt:i4>
      </vt:variant>
      <vt:variant>
        <vt:i4>0</vt:i4>
      </vt:variant>
      <vt:variant>
        <vt:i4>5</vt:i4>
      </vt:variant>
      <vt:variant>
        <vt:lpwstr/>
      </vt:variant>
      <vt:variant>
        <vt:lpwstr>_Toc240249431</vt:lpwstr>
      </vt:variant>
      <vt:variant>
        <vt:i4>1769522</vt:i4>
      </vt:variant>
      <vt:variant>
        <vt:i4>314</vt:i4>
      </vt:variant>
      <vt:variant>
        <vt:i4>0</vt:i4>
      </vt:variant>
      <vt:variant>
        <vt:i4>5</vt:i4>
      </vt:variant>
      <vt:variant>
        <vt:lpwstr/>
      </vt:variant>
      <vt:variant>
        <vt:lpwstr>_Toc240249430</vt:lpwstr>
      </vt:variant>
      <vt:variant>
        <vt:i4>1703986</vt:i4>
      </vt:variant>
      <vt:variant>
        <vt:i4>308</vt:i4>
      </vt:variant>
      <vt:variant>
        <vt:i4>0</vt:i4>
      </vt:variant>
      <vt:variant>
        <vt:i4>5</vt:i4>
      </vt:variant>
      <vt:variant>
        <vt:lpwstr/>
      </vt:variant>
      <vt:variant>
        <vt:lpwstr>_Toc240249429</vt:lpwstr>
      </vt:variant>
      <vt:variant>
        <vt:i4>1703986</vt:i4>
      </vt:variant>
      <vt:variant>
        <vt:i4>302</vt:i4>
      </vt:variant>
      <vt:variant>
        <vt:i4>0</vt:i4>
      </vt:variant>
      <vt:variant>
        <vt:i4>5</vt:i4>
      </vt:variant>
      <vt:variant>
        <vt:lpwstr/>
      </vt:variant>
      <vt:variant>
        <vt:lpwstr>_Toc240249428</vt:lpwstr>
      </vt:variant>
      <vt:variant>
        <vt:i4>1703986</vt:i4>
      </vt:variant>
      <vt:variant>
        <vt:i4>296</vt:i4>
      </vt:variant>
      <vt:variant>
        <vt:i4>0</vt:i4>
      </vt:variant>
      <vt:variant>
        <vt:i4>5</vt:i4>
      </vt:variant>
      <vt:variant>
        <vt:lpwstr/>
      </vt:variant>
      <vt:variant>
        <vt:lpwstr>_Toc240249427</vt:lpwstr>
      </vt:variant>
      <vt:variant>
        <vt:i4>1703986</vt:i4>
      </vt:variant>
      <vt:variant>
        <vt:i4>290</vt:i4>
      </vt:variant>
      <vt:variant>
        <vt:i4>0</vt:i4>
      </vt:variant>
      <vt:variant>
        <vt:i4>5</vt:i4>
      </vt:variant>
      <vt:variant>
        <vt:lpwstr/>
      </vt:variant>
      <vt:variant>
        <vt:lpwstr>_Toc240249426</vt:lpwstr>
      </vt:variant>
      <vt:variant>
        <vt:i4>1703986</vt:i4>
      </vt:variant>
      <vt:variant>
        <vt:i4>284</vt:i4>
      </vt:variant>
      <vt:variant>
        <vt:i4>0</vt:i4>
      </vt:variant>
      <vt:variant>
        <vt:i4>5</vt:i4>
      </vt:variant>
      <vt:variant>
        <vt:lpwstr/>
      </vt:variant>
      <vt:variant>
        <vt:lpwstr>_Toc240249425</vt:lpwstr>
      </vt:variant>
      <vt:variant>
        <vt:i4>1703986</vt:i4>
      </vt:variant>
      <vt:variant>
        <vt:i4>278</vt:i4>
      </vt:variant>
      <vt:variant>
        <vt:i4>0</vt:i4>
      </vt:variant>
      <vt:variant>
        <vt:i4>5</vt:i4>
      </vt:variant>
      <vt:variant>
        <vt:lpwstr/>
      </vt:variant>
      <vt:variant>
        <vt:lpwstr>_Toc240249424</vt:lpwstr>
      </vt:variant>
      <vt:variant>
        <vt:i4>1703986</vt:i4>
      </vt:variant>
      <vt:variant>
        <vt:i4>272</vt:i4>
      </vt:variant>
      <vt:variant>
        <vt:i4>0</vt:i4>
      </vt:variant>
      <vt:variant>
        <vt:i4>5</vt:i4>
      </vt:variant>
      <vt:variant>
        <vt:lpwstr/>
      </vt:variant>
      <vt:variant>
        <vt:lpwstr>_Toc240249423</vt:lpwstr>
      </vt:variant>
      <vt:variant>
        <vt:i4>1703986</vt:i4>
      </vt:variant>
      <vt:variant>
        <vt:i4>266</vt:i4>
      </vt:variant>
      <vt:variant>
        <vt:i4>0</vt:i4>
      </vt:variant>
      <vt:variant>
        <vt:i4>5</vt:i4>
      </vt:variant>
      <vt:variant>
        <vt:lpwstr/>
      </vt:variant>
      <vt:variant>
        <vt:lpwstr>_Toc240249422</vt:lpwstr>
      </vt:variant>
      <vt:variant>
        <vt:i4>1703986</vt:i4>
      </vt:variant>
      <vt:variant>
        <vt:i4>260</vt:i4>
      </vt:variant>
      <vt:variant>
        <vt:i4>0</vt:i4>
      </vt:variant>
      <vt:variant>
        <vt:i4>5</vt:i4>
      </vt:variant>
      <vt:variant>
        <vt:lpwstr/>
      </vt:variant>
      <vt:variant>
        <vt:lpwstr>_Toc240249421</vt:lpwstr>
      </vt:variant>
      <vt:variant>
        <vt:i4>1703986</vt:i4>
      </vt:variant>
      <vt:variant>
        <vt:i4>254</vt:i4>
      </vt:variant>
      <vt:variant>
        <vt:i4>0</vt:i4>
      </vt:variant>
      <vt:variant>
        <vt:i4>5</vt:i4>
      </vt:variant>
      <vt:variant>
        <vt:lpwstr/>
      </vt:variant>
      <vt:variant>
        <vt:lpwstr>_Toc240249420</vt:lpwstr>
      </vt:variant>
      <vt:variant>
        <vt:i4>1638450</vt:i4>
      </vt:variant>
      <vt:variant>
        <vt:i4>248</vt:i4>
      </vt:variant>
      <vt:variant>
        <vt:i4>0</vt:i4>
      </vt:variant>
      <vt:variant>
        <vt:i4>5</vt:i4>
      </vt:variant>
      <vt:variant>
        <vt:lpwstr/>
      </vt:variant>
      <vt:variant>
        <vt:lpwstr>_Toc240249419</vt:lpwstr>
      </vt:variant>
      <vt:variant>
        <vt:i4>1638450</vt:i4>
      </vt:variant>
      <vt:variant>
        <vt:i4>242</vt:i4>
      </vt:variant>
      <vt:variant>
        <vt:i4>0</vt:i4>
      </vt:variant>
      <vt:variant>
        <vt:i4>5</vt:i4>
      </vt:variant>
      <vt:variant>
        <vt:lpwstr/>
      </vt:variant>
      <vt:variant>
        <vt:lpwstr>_Toc240249418</vt:lpwstr>
      </vt:variant>
      <vt:variant>
        <vt:i4>1638450</vt:i4>
      </vt:variant>
      <vt:variant>
        <vt:i4>236</vt:i4>
      </vt:variant>
      <vt:variant>
        <vt:i4>0</vt:i4>
      </vt:variant>
      <vt:variant>
        <vt:i4>5</vt:i4>
      </vt:variant>
      <vt:variant>
        <vt:lpwstr/>
      </vt:variant>
      <vt:variant>
        <vt:lpwstr>_Toc240249417</vt:lpwstr>
      </vt:variant>
      <vt:variant>
        <vt:i4>1638450</vt:i4>
      </vt:variant>
      <vt:variant>
        <vt:i4>230</vt:i4>
      </vt:variant>
      <vt:variant>
        <vt:i4>0</vt:i4>
      </vt:variant>
      <vt:variant>
        <vt:i4>5</vt:i4>
      </vt:variant>
      <vt:variant>
        <vt:lpwstr/>
      </vt:variant>
      <vt:variant>
        <vt:lpwstr>_Toc240249416</vt:lpwstr>
      </vt:variant>
      <vt:variant>
        <vt:i4>1638450</vt:i4>
      </vt:variant>
      <vt:variant>
        <vt:i4>224</vt:i4>
      </vt:variant>
      <vt:variant>
        <vt:i4>0</vt:i4>
      </vt:variant>
      <vt:variant>
        <vt:i4>5</vt:i4>
      </vt:variant>
      <vt:variant>
        <vt:lpwstr/>
      </vt:variant>
      <vt:variant>
        <vt:lpwstr>_Toc240249415</vt:lpwstr>
      </vt:variant>
      <vt:variant>
        <vt:i4>1638450</vt:i4>
      </vt:variant>
      <vt:variant>
        <vt:i4>218</vt:i4>
      </vt:variant>
      <vt:variant>
        <vt:i4>0</vt:i4>
      </vt:variant>
      <vt:variant>
        <vt:i4>5</vt:i4>
      </vt:variant>
      <vt:variant>
        <vt:lpwstr/>
      </vt:variant>
      <vt:variant>
        <vt:lpwstr>_Toc240249414</vt:lpwstr>
      </vt:variant>
      <vt:variant>
        <vt:i4>1638450</vt:i4>
      </vt:variant>
      <vt:variant>
        <vt:i4>212</vt:i4>
      </vt:variant>
      <vt:variant>
        <vt:i4>0</vt:i4>
      </vt:variant>
      <vt:variant>
        <vt:i4>5</vt:i4>
      </vt:variant>
      <vt:variant>
        <vt:lpwstr/>
      </vt:variant>
      <vt:variant>
        <vt:lpwstr>_Toc240249413</vt:lpwstr>
      </vt:variant>
      <vt:variant>
        <vt:i4>1638450</vt:i4>
      </vt:variant>
      <vt:variant>
        <vt:i4>206</vt:i4>
      </vt:variant>
      <vt:variant>
        <vt:i4>0</vt:i4>
      </vt:variant>
      <vt:variant>
        <vt:i4>5</vt:i4>
      </vt:variant>
      <vt:variant>
        <vt:lpwstr/>
      </vt:variant>
      <vt:variant>
        <vt:lpwstr>_Toc240249412</vt:lpwstr>
      </vt:variant>
      <vt:variant>
        <vt:i4>1638450</vt:i4>
      </vt:variant>
      <vt:variant>
        <vt:i4>200</vt:i4>
      </vt:variant>
      <vt:variant>
        <vt:i4>0</vt:i4>
      </vt:variant>
      <vt:variant>
        <vt:i4>5</vt:i4>
      </vt:variant>
      <vt:variant>
        <vt:lpwstr/>
      </vt:variant>
      <vt:variant>
        <vt:lpwstr>_Toc240249411</vt:lpwstr>
      </vt:variant>
      <vt:variant>
        <vt:i4>1638450</vt:i4>
      </vt:variant>
      <vt:variant>
        <vt:i4>194</vt:i4>
      </vt:variant>
      <vt:variant>
        <vt:i4>0</vt:i4>
      </vt:variant>
      <vt:variant>
        <vt:i4>5</vt:i4>
      </vt:variant>
      <vt:variant>
        <vt:lpwstr/>
      </vt:variant>
      <vt:variant>
        <vt:lpwstr>_Toc240249410</vt:lpwstr>
      </vt:variant>
      <vt:variant>
        <vt:i4>1572914</vt:i4>
      </vt:variant>
      <vt:variant>
        <vt:i4>188</vt:i4>
      </vt:variant>
      <vt:variant>
        <vt:i4>0</vt:i4>
      </vt:variant>
      <vt:variant>
        <vt:i4>5</vt:i4>
      </vt:variant>
      <vt:variant>
        <vt:lpwstr/>
      </vt:variant>
      <vt:variant>
        <vt:lpwstr>_Toc240249409</vt:lpwstr>
      </vt:variant>
      <vt:variant>
        <vt:i4>1572914</vt:i4>
      </vt:variant>
      <vt:variant>
        <vt:i4>182</vt:i4>
      </vt:variant>
      <vt:variant>
        <vt:i4>0</vt:i4>
      </vt:variant>
      <vt:variant>
        <vt:i4>5</vt:i4>
      </vt:variant>
      <vt:variant>
        <vt:lpwstr/>
      </vt:variant>
      <vt:variant>
        <vt:lpwstr>_Toc240249408</vt:lpwstr>
      </vt:variant>
      <vt:variant>
        <vt:i4>1572914</vt:i4>
      </vt:variant>
      <vt:variant>
        <vt:i4>176</vt:i4>
      </vt:variant>
      <vt:variant>
        <vt:i4>0</vt:i4>
      </vt:variant>
      <vt:variant>
        <vt:i4>5</vt:i4>
      </vt:variant>
      <vt:variant>
        <vt:lpwstr/>
      </vt:variant>
      <vt:variant>
        <vt:lpwstr>_Toc240249407</vt:lpwstr>
      </vt:variant>
      <vt:variant>
        <vt:i4>1572914</vt:i4>
      </vt:variant>
      <vt:variant>
        <vt:i4>170</vt:i4>
      </vt:variant>
      <vt:variant>
        <vt:i4>0</vt:i4>
      </vt:variant>
      <vt:variant>
        <vt:i4>5</vt:i4>
      </vt:variant>
      <vt:variant>
        <vt:lpwstr/>
      </vt:variant>
      <vt:variant>
        <vt:lpwstr>_Toc240249406</vt:lpwstr>
      </vt:variant>
      <vt:variant>
        <vt:i4>1572914</vt:i4>
      </vt:variant>
      <vt:variant>
        <vt:i4>164</vt:i4>
      </vt:variant>
      <vt:variant>
        <vt:i4>0</vt:i4>
      </vt:variant>
      <vt:variant>
        <vt:i4>5</vt:i4>
      </vt:variant>
      <vt:variant>
        <vt:lpwstr/>
      </vt:variant>
      <vt:variant>
        <vt:lpwstr>_Toc240249405</vt:lpwstr>
      </vt:variant>
      <vt:variant>
        <vt:i4>1572914</vt:i4>
      </vt:variant>
      <vt:variant>
        <vt:i4>158</vt:i4>
      </vt:variant>
      <vt:variant>
        <vt:i4>0</vt:i4>
      </vt:variant>
      <vt:variant>
        <vt:i4>5</vt:i4>
      </vt:variant>
      <vt:variant>
        <vt:lpwstr/>
      </vt:variant>
      <vt:variant>
        <vt:lpwstr>_Toc240249404</vt:lpwstr>
      </vt:variant>
      <vt:variant>
        <vt:i4>1572914</vt:i4>
      </vt:variant>
      <vt:variant>
        <vt:i4>152</vt:i4>
      </vt:variant>
      <vt:variant>
        <vt:i4>0</vt:i4>
      </vt:variant>
      <vt:variant>
        <vt:i4>5</vt:i4>
      </vt:variant>
      <vt:variant>
        <vt:lpwstr/>
      </vt:variant>
      <vt:variant>
        <vt:lpwstr>_Toc240249403</vt:lpwstr>
      </vt:variant>
      <vt:variant>
        <vt:i4>1572914</vt:i4>
      </vt:variant>
      <vt:variant>
        <vt:i4>146</vt:i4>
      </vt:variant>
      <vt:variant>
        <vt:i4>0</vt:i4>
      </vt:variant>
      <vt:variant>
        <vt:i4>5</vt:i4>
      </vt:variant>
      <vt:variant>
        <vt:lpwstr/>
      </vt:variant>
      <vt:variant>
        <vt:lpwstr>_Toc240249402</vt:lpwstr>
      </vt:variant>
      <vt:variant>
        <vt:i4>1572914</vt:i4>
      </vt:variant>
      <vt:variant>
        <vt:i4>140</vt:i4>
      </vt:variant>
      <vt:variant>
        <vt:i4>0</vt:i4>
      </vt:variant>
      <vt:variant>
        <vt:i4>5</vt:i4>
      </vt:variant>
      <vt:variant>
        <vt:lpwstr/>
      </vt:variant>
      <vt:variant>
        <vt:lpwstr>_Toc240249401</vt:lpwstr>
      </vt:variant>
      <vt:variant>
        <vt:i4>1572914</vt:i4>
      </vt:variant>
      <vt:variant>
        <vt:i4>134</vt:i4>
      </vt:variant>
      <vt:variant>
        <vt:i4>0</vt:i4>
      </vt:variant>
      <vt:variant>
        <vt:i4>5</vt:i4>
      </vt:variant>
      <vt:variant>
        <vt:lpwstr/>
      </vt:variant>
      <vt:variant>
        <vt:lpwstr>_Toc240249400</vt:lpwstr>
      </vt:variant>
      <vt:variant>
        <vt:i4>1114165</vt:i4>
      </vt:variant>
      <vt:variant>
        <vt:i4>128</vt:i4>
      </vt:variant>
      <vt:variant>
        <vt:i4>0</vt:i4>
      </vt:variant>
      <vt:variant>
        <vt:i4>5</vt:i4>
      </vt:variant>
      <vt:variant>
        <vt:lpwstr/>
      </vt:variant>
      <vt:variant>
        <vt:lpwstr>_Toc240249399</vt:lpwstr>
      </vt:variant>
      <vt:variant>
        <vt:i4>1114165</vt:i4>
      </vt:variant>
      <vt:variant>
        <vt:i4>122</vt:i4>
      </vt:variant>
      <vt:variant>
        <vt:i4>0</vt:i4>
      </vt:variant>
      <vt:variant>
        <vt:i4>5</vt:i4>
      </vt:variant>
      <vt:variant>
        <vt:lpwstr/>
      </vt:variant>
      <vt:variant>
        <vt:lpwstr>_Toc240249398</vt:lpwstr>
      </vt:variant>
      <vt:variant>
        <vt:i4>1114165</vt:i4>
      </vt:variant>
      <vt:variant>
        <vt:i4>116</vt:i4>
      </vt:variant>
      <vt:variant>
        <vt:i4>0</vt:i4>
      </vt:variant>
      <vt:variant>
        <vt:i4>5</vt:i4>
      </vt:variant>
      <vt:variant>
        <vt:lpwstr/>
      </vt:variant>
      <vt:variant>
        <vt:lpwstr>_Toc240249397</vt:lpwstr>
      </vt:variant>
      <vt:variant>
        <vt:i4>1114165</vt:i4>
      </vt:variant>
      <vt:variant>
        <vt:i4>110</vt:i4>
      </vt:variant>
      <vt:variant>
        <vt:i4>0</vt:i4>
      </vt:variant>
      <vt:variant>
        <vt:i4>5</vt:i4>
      </vt:variant>
      <vt:variant>
        <vt:lpwstr/>
      </vt:variant>
      <vt:variant>
        <vt:lpwstr>_Toc240249396</vt:lpwstr>
      </vt:variant>
      <vt:variant>
        <vt:i4>1114165</vt:i4>
      </vt:variant>
      <vt:variant>
        <vt:i4>104</vt:i4>
      </vt:variant>
      <vt:variant>
        <vt:i4>0</vt:i4>
      </vt:variant>
      <vt:variant>
        <vt:i4>5</vt:i4>
      </vt:variant>
      <vt:variant>
        <vt:lpwstr/>
      </vt:variant>
      <vt:variant>
        <vt:lpwstr>_Toc240249395</vt:lpwstr>
      </vt:variant>
      <vt:variant>
        <vt:i4>1114165</vt:i4>
      </vt:variant>
      <vt:variant>
        <vt:i4>98</vt:i4>
      </vt:variant>
      <vt:variant>
        <vt:i4>0</vt:i4>
      </vt:variant>
      <vt:variant>
        <vt:i4>5</vt:i4>
      </vt:variant>
      <vt:variant>
        <vt:lpwstr/>
      </vt:variant>
      <vt:variant>
        <vt:lpwstr>_Toc240249394</vt:lpwstr>
      </vt:variant>
      <vt:variant>
        <vt:i4>1114165</vt:i4>
      </vt:variant>
      <vt:variant>
        <vt:i4>92</vt:i4>
      </vt:variant>
      <vt:variant>
        <vt:i4>0</vt:i4>
      </vt:variant>
      <vt:variant>
        <vt:i4>5</vt:i4>
      </vt:variant>
      <vt:variant>
        <vt:lpwstr/>
      </vt:variant>
      <vt:variant>
        <vt:lpwstr>_Toc240249393</vt:lpwstr>
      </vt:variant>
      <vt:variant>
        <vt:i4>1114165</vt:i4>
      </vt:variant>
      <vt:variant>
        <vt:i4>86</vt:i4>
      </vt:variant>
      <vt:variant>
        <vt:i4>0</vt:i4>
      </vt:variant>
      <vt:variant>
        <vt:i4>5</vt:i4>
      </vt:variant>
      <vt:variant>
        <vt:lpwstr/>
      </vt:variant>
      <vt:variant>
        <vt:lpwstr>_Toc240249392</vt:lpwstr>
      </vt:variant>
      <vt:variant>
        <vt:i4>1114165</vt:i4>
      </vt:variant>
      <vt:variant>
        <vt:i4>80</vt:i4>
      </vt:variant>
      <vt:variant>
        <vt:i4>0</vt:i4>
      </vt:variant>
      <vt:variant>
        <vt:i4>5</vt:i4>
      </vt:variant>
      <vt:variant>
        <vt:lpwstr/>
      </vt:variant>
      <vt:variant>
        <vt:lpwstr>_Toc240249391</vt:lpwstr>
      </vt:variant>
      <vt:variant>
        <vt:i4>1114165</vt:i4>
      </vt:variant>
      <vt:variant>
        <vt:i4>74</vt:i4>
      </vt:variant>
      <vt:variant>
        <vt:i4>0</vt:i4>
      </vt:variant>
      <vt:variant>
        <vt:i4>5</vt:i4>
      </vt:variant>
      <vt:variant>
        <vt:lpwstr/>
      </vt:variant>
      <vt:variant>
        <vt:lpwstr>_Toc240249390</vt:lpwstr>
      </vt:variant>
      <vt:variant>
        <vt:i4>1048629</vt:i4>
      </vt:variant>
      <vt:variant>
        <vt:i4>68</vt:i4>
      </vt:variant>
      <vt:variant>
        <vt:i4>0</vt:i4>
      </vt:variant>
      <vt:variant>
        <vt:i4>5</vt:i4>
      </vt:variant>
      <vt:variant>
        <vt:lpwstr/>
      </vt:variant>
      <vt:variant>
        <vt:lpwstr>_Toc240249389</vt:lpwstr>
      </vt:variant>
      <vt:variant>
        <vt:i4>1048629</vt:i4>
      </vt:variant>
      <vt:variant>
        <vt:i4>62</vt:i4>
      </vt:variant>
      <vt:variant>
        <vt:i4>0</vt:i4>
      </vt:variant>
      <vt:variant>
        <vt:i4>5</vt:i4>
      </vt:variant>
      <vt:variant>
        <vt:lpwstr/>
      </vt:variant>
      <vt:variant>
        <vt:lpwstr>_Toc240249388</vt:lpwstr>
      </vt:variant>
      <vt:variant>
        <vt:i4>1048629</vt:i4>
      </vt:variant>
      <vt:variant>
        <vt:i4>56</vt:i4>
      </vt:variant>
      <vt:variant>
        <vt:i4>0</vt:i4>
      </vt:variant>
      <vt:variant>
        <vt:i4>5</vt:i4>
      </vt:variant>
      <vt:variant>
        <vt:lpwstr/>
      </vt:variant>
      <vt:variant>
        <vt:lpwstr>_Toc240249387</vt:lpwstr>
      </vt:variant>
      <vt:variant>
        <vt:i4>1048629</vt:i4>
      </vt:variant>
      <vt:variant>
        <vt:i4>50</vt:i4>
      </vt:variant>
      <vt:variant>
        <vt:i4>0</vt:i4>
      </vt:variant>
      <vt:variant>
        <vt:i4>5</vt:i4>
      </vt:variant>
      <vt:variant>
        <vt:lpwstr/>
      </vt:variant>
      <vt:variant>
        <vt:lpwstr>_Toc240249386</vt:lpwstr>
      </vt:variant>
      <vt:variant>
        <vt:i4>1048629</vt:i4>
      </vt:variant>
      <vt:variant>
        <vt:i4>44</vt:i4>
      </vt:variant>
      <vt:variant>
        <vt:i4>0</vt:i4>
      </vt:variant>
      <vt:variant>
        <vt:i4>5</vt:i4>
      </vt:variant>
      <vt:variant>
        <vt:lpwstr/>
      </vt:variant>
      <vt:variant>
        <vt:lpwstr>_Toc240249385</vt:lpwstr>
      </vt:variant>
      <vt:variant>
        <vt:i4>1048629</vt:i4>
      </vt:variant>
      <vt:variant>
        <vt:i4>38</vt:i4>
      </vt:variant>
      <vt:variant>
        <vt:i4>0</vt:i4>
      </vt:variant>
      <vt:variant>
        <vt:i4>5</vt:i4>
      </vt:variant>
      <vt:variant>
        <vt:lpwstr/>
      </vt:variant>
      <vt:variant>
        <vt:lpwstr>_Toc240249384</vt:lpwstr>
      </vt:variant>
      <vt:variant>
        <vt:i4>1048629</vt:i4>
      </vt:variant>
      <vt:variant>
        <vt:i4>32</vt:i4>
      </vt:variant>
      <vt:variant>
        <vt:i4>0</vt:i4>
      </vt:variant>
      <vt:variant>
        <vt:i4>5</vt:i4>
      </vt:variant>
      <vt:variant>
        <vt:lpwstr/>
      </vt:variant>
      <vt:variant>
        <vt:lpwstr>_Toc240249383</vt:lpwstr>
      </vt:variant>
      <vt:variant>
        <vt:i4>1048629</vt:i4>
      </vt:variant>
      <vt:variant>
        <vt:i4>26</vt:i4>
      </vt:variant>
      <vt:variant>
        <vt:i4>0</vt:i4>
      </vt:variant>
      <vt:variant>
        <vt:i4>5</vt:i4>
      </vt:variant>
      <vt:variant>
        <vt:lpwstr/>
      </vt:variant>
      <vt:variant>
        <vt:lpwstr>_Toc240249382</vt:lpwstr>
      </vt:variant>
      <vt:variant>
        <vt:i4>1048629</vt:i4>
      </vt:variant>
      <vt:variant>
        <vt:i4>20</vt:i4>
      </vt:variant>
      <vt:variant>
        <vt:i4>0</vt:i4>
      </vt:variant>
      <vt:variant>
        <vt:i4>5</vt:i4>
      </vt:variant>
      <vt:variant>
        <vt:lpwstr/>
      </vt:variant>
      <vt:variant>
        <vt:lpwstr>_Toc240249381</vt:lpwstr>
      </vt:variant>
      <vt:variant>
        <vt:i4>1048629</vt:i4>
      </vt:variant>
      <vt:variant>
        <vt:i4>14</vt:i4>
      </vt:variant>
      <vt:variant>
        <vt:i4>0</vt:i4>
      </vt:variant>
      <vt:variant>
        <vt:i4>5</vt:i4>
      </vt:variant>
      <vt:variant>
        <vt:lpwstr/>
      </vt:variant>
      <vt:variant>
        <vt:lpwstr>_Toc240249380</vt:lpwstr>
      </vt:variant>
      <vt:variant>
        <vt:i4>2031669</vt:i4>
      </vt:variant>
      <vt:variant>
        <vt:i4>8</vt:i4>
      </vt:variant>
      <vt:variant>
        <vt:i4>0</vt:i4>
      </vt:variant>
      <vt:variant>
        <vt:i4>5</vt:i4>
      </vt:variant>
      <vt:variant>
        <vt:lpwstr/>
      </vt:variant>
      <vt:variant>
        <vt:lpwstr>_Toc240249379</vt:lpwstr>
      </vt:variant>
      <vt:variant>
        <vt:i4>2031669</vt:i4>
      </vt:variant>
      <vt:variant>
        <vt:i4>2</vt:i4>
      </vt:variant>
      <vt:variant>
        <vt:i4>0</vt:i4>
      </vt:variant>
      <vt:variant>
        <vt:i4>5</vt:i4>
      </vt:variant>
      <vt:variant>
        <vt:lpwstr/>
      </vt:variant>
      <vt:variant>
        <vt:lpwstr>_Toc240249378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Report Template</dc:title>
  <dc:subject/>
  <dc:creator>Corp IT</dc:creator>
  <cp:keywords/>
  <dc:description/>
  <cp:lastModifiedBy>Brian Hall</cp:lastModifiedBy>
  <cp:revision>20</cp:revision>
  <cp:lastPrinted>2010-08-06T21:39:00Z</cp:lastPrinted>
  <dcterms:created xsi:type="dcterms:W3CDTF">2011-03-07T15:57:00Z</dcterms:created>
  <dcterms:modified xsi:type="dcterms:W3CDTF">2011-03-11T05:07:00Z</dcterms:modified>
</cp:coreProperties>
</file>